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w:t>
      </w:r>
      <w:r w:rsidR="007F218B">
        <w:rPr>
          <w:rFonts w:ascii="Arial Narrow" w:hAnsi="Arial Narrow" w:cs="Arial"/>
          <w:sz w:val="24"/>
          <w:szCs w:val="24"/>
          <w:lang w:val="it-IT"/>
        </w:rPr>
        <w:t>perioada</w:t>
      </w:r>
      <w:r w:rsidRPr="00295786">
        <w:rPr>
          <w:rFonts w:ascii="Arial Narrow" w:hAnsi="Arial Narrow" w:cs="Arial"/>
          <w:sz w:val="24"/>
          <w:szCs w:val="24"/>
          <w:lang w:val="it-IT"/>
        </w:rPr>
        <w:t xml:space="preserve">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DE719C" w:rsidRDefault="00DE719C" w:rsidP="00295786">
            <w:pPr>
              <w:tabs>
                <w:tab w:val="left" w:pos="8931"/>
              </w:tabs>
              <w:jc w:val="both"/>
              <w:rPr>
                <w:rFonts w:ascii="Times New Roman" w:hAnsi="Times New Roman"/>
                <w:b/>
                <w:sz w:val="24"/>
                <w:szCs w:val="24"/>
              </w:rPr>
            </w:pPr>
            <w:r w:rsidRPr="00DE719C">
              <w:rPr>
                <w:rFonts w:ascii="Times New Roman" w:hAnsi="Times New Roman"/>
                <w:b/>
                <w:sz w:val="24"/>
                <w:szCs w:val="24"/>
                <w:lang w:val="ro-RO"/>
              </w:rPr>
              <w:t>Servicii de reparare şi de întreţinere echipament HPLC din cadrul Platformei REFORM</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DE719C"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E719C" w:rsidRDefault="00DE719C" w:rsidP="00B27ACD">
      <w:pPr>
        <w:spacing w:after="120"/>
        <w:jc w:val="both"/>
        <w:rPr>
          <w:rFonts w:ascii="Arial Narrow" w:hAnsi="Arial Narrow"/>
          <w:i/>
          <w:sz w:val="24"/>
          <w:szCs w:val="24"/>
        </w:rPr>
      </w:pPr>
    </w:p>
    <w:p w:rsidR="00DE719C" w:rsidRDefault="00DE719C" w:rsidP="00B27ACD">
      <w:pPr>
        <w:spacing w:after="120"/>
        <w:jc w:val="both"/>
        <w:rPr>
          <w:rFonts w:ascii="Arial Narrow" w:hAnsi="Arial Narrow"/>
          <w:i/>
          <w:sz w:val="24"/>
          <w:szCs w:val="24"/>
        </w:rPr>
      </w:pPr>
    </w:p>
    <w:p w:rsidR="00DE719C" w:rsidRDefault="00DE719C" w:rsidP="00B27ACD">
      <w:pPr>
        <w:spacing w:after="120"/>
        <w:jc w:val="both"/>
        <w:rPr>
          <w:rFonts w:ascii="Arial Narrow" w:hAnsi="Arial Narrow"/>
          <w:i/>
          <w:sz w:val="24"/>
          <w:szCs w:val="24"/>
        </w:rPr>
      </w:pPr>
    </w:p>
    <w:p w:rsidR="00DE719C" w:rsidRDefault="00DE719C"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DE719C" w:rsidTr="00054370">
        <w:trPr>
          <w:jc w:val="center"/>
        </w:trPr>
        <w:tc>
          <w:tcPr>
            <w:tcW w:w="602" w:type="dxa"/>
            <w:tcMar>
              <w:left w:w="57" w:type="dxa"/>
              <w:right w:w="57" w:type="dxa"/>
            </w:tcMar>
            <w:vAlign w:val="center"/>
          </w:tcPr>
          <w:p w:rsidR="00CD3BF8" w:rsidRPr="00DE719C" w:rsidRDefault="00CD3BF8" w:rsidP="00DE719C">
            <w:pPr>
              <w:jc w:val="center"/>
              <w:rPr>
                <w:rFonts w:ascii="Arial Narrow" w:hAnsi="Arial Narrow" w:cs="Arial"/>
                <w:b/>
                <w:i/>
                <w:sz w:val="24"/>
                <w:szCs w:val="24"/>
              </w:rPr>
            </w:pPr>
            <w:r w:rsidRPr="00DE719C">
              <w:rPr>
                <w:rFonts w:ascii="Arial Narrow" w:hAnsi="Arial Narrow" w:cs="Arial"/>
                <w:b/>
                <w:i/>
                <w:sz w:val="24"/>
                <w:szCs w:val="24"/>
              </w:rPr>
              <w:t>NR.</w:t>
            </w:r>
          </w:p>
          <w:p w:rsidR="00CD3BF8" w:rsidRPr="00DE719C" w:rsidRDefault="00CD3BF8" w:rsidP="00DE719C">
            <w:pPr>
              <w:jc w:val="center"/>
              <w:rPr>
                <w:rFonts w:ascii="Arial Narrow" w:hAnsi="Arial Narrow" w:cs="Arial"/>
                <w:sz w:val="24"/>
                <w:szCs w:val="24"/>
              </w:rPr>
            </w:pPr>
            <w:r w:rsidRPr="00DE719C">
              <w:rPr>
                <w:rFonts w:ascii="Arial Narrow" w:hAnsi="Arial Narrow" w:cs="Arial"/>
                <w:b/>
                <w:i/>
                <w:sz w:val="24"/>
                <w:szCs w:val="24"/>
              </w:rPr>
              <w:t>CRT.</w:t>
            </w:r>
          </w:p>
        </w:tc>
        <w:tc>
          <w:tcPr>
            <w:tcW w:w="5603" w:type="dxa"/>
            <w:tcMar>
              <w:left w:w="57" w:type="dxa"/>
              <w:right w:w="57" w:type="dxa"/>
            </w:tcMar>
            <w:vAlign w:val="center"/>
          </w:tcPr>
          <w:p w:rsidR="00CD3BF8" w:rsidRPr="00DE719C" w:rsidRDefault="00CD3BF8" w:rsidP="00DE719C">
            <w:pPr>
              <w:pStyle w:val="Heading2"/>
              <w:numPr>
                <w:ilvl w:val="0"/>
                <w:numId w:val="0"/>
              </w:numPr>
              <w:jc w:val="center"/>
              <w:rPr>
                <w:rFonts w:ascii="Arial Narrow" w:hAnsi="Arial Narrow"/>
                <w:i/>
                <w:iCs/>
                <w:caps/>
                <w:sz w:val="24"/>
                <w:szCs w:val="24"/>
              </w:rPr>
            </w:pPr>
            <w:r w:rsidRPr="00DE719C">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DE719C" w:rsidRDefault="00CD3BF8" w:rsidP="00DE719C">
            <w:pPr>
              <w:pStyle w:val="Heading2"/>
              <w:numPr>
                <w:ilvl w:val="0"/>
                <w:numId w:val="0"/>
              </w:numPr>
              <w:jc w:val="center"/>
              <w:rPr>
                <w:rFonts w:ascii="Arial Narrow" w:hAnsi="Arial Narrow"/>
                <w:i/>
                <w:iCs/>
                <w:caps/>
                <w:sz w:val="24"/>
                <w:szCs w:val="24"/>
              </w:rPr>
            </w:pPr>
            <w:r w:rsidRPr="00DE719C">
              <w:rPr>
                <w:rFonts w:ascii="Arial Narrow" w:hAnsi="Arial Narrow"/>
                <w:i/>
                <w:iCs/>
                <w:caps/>
                <w:sz w:val="24"/>
                <w:szCs w:val="24"/>
              </w:rPr>
              <w:t>Ofertă CONTRACTANT</w:t>
            </w:r>
          </w:p>
        </w:tc>
      </w:tr>
      <w:tr w:rsidR="00CD3BF8" w:rsidRPr="00DE719C" w:rsidTr="00054370">
        <w:trPr>
          <w:trHeight w:val="566"/>
          <w:jc w:val="center"/>
        </w:trPr>
        <w:tc>
          <w:tcPr>
            <w:tcW w:w="602" w:type="dxa"/>
            <w:tcMar>
              <w:left w:w="57" w:type="dxa"/>
              <w:right w:w="57" w:type="dxa"/>
            </w:tcMar>
            <w:vAlign w:val="center"/>
          </w:tcPr>
          <w:p w:rsidR="00CD3BF8" w:rsidRPr="00DE719C" w:rsidRDefault="00CD3BF8" w:rsidP="00DE719C">
            <w:pPr>
              <w:jc w:val="center"/>
              <w:rPr>
                <w:rFonts w:ascii="Arial Narrow" w:hAnsi="Arial Narrow" w:cs="Arial"/>
                <w:sz w:val="24"/>
                <w:szCs w:val="24"/>
              </w:rPr>
            </w:pPr>
          </w:p>
        </w:tc>
        <w:tc>
          <w:tcPr>
            <w:tcW w:w="5603" w:type="dxa"/>
            <w:tcMar>
              <w:left w:w="57" w:type="dxa"/>
              <w:right w:w="57" w:type="dxa"/>
            </w:tcMar>
          </w:tcPr>
          <w:p w:rsidR="00DE719C" w:rsidRPr="00DE719C" w:rsidRDefault="00DE719C" w:rsidP="00DE719C">
            <w:pPr>
              <w:ind w:right="282"/>
              <w:jc w:val="both"/>
              <w:rPr>
                <w:rFonts w:ascii="Arial Narrow" w:hAnsi="Arial Narrow"/>
                <w:b/>
                <w:sz w:val="24"/>
                <w:szCs w:val="24"/>
              </w:rPr>
            </w:pPr>
            <w:r>
              <w:rPr>
                <w:rFonts w:ascii="Arial Narrow" w:hAnsi="Arial Narrow"/>
                <w:b/>
                <w:i/>
                <w:sz w:val="24"/>
                <w:szCs w:val="24"/>
                <w:lang w:val="ro-RO"/>
              </w:rPr>
              <w:t>,,</w:t>
            </w:r>
            <w:r w:rsidRPr="00DE719C">
              <w:rPr>
                <w:rFonts w:ascii="Arial Narrow" w:hAnsi="Arial Narrow"/>
                <w:b/>
                <w:i/>
                <w:sz w:val="24"/>
                <w:szCs w:val="24"/>
                <w:lang w:val="ro-RO"/>
              </w:rPr>
              <w:t>SERVICII DE REPARARE ŞI DE ÎNTREŢINERE ECHIPAMENT HPLC DIN CADRUL PLATFORMEI REFORM</w:t>
            </w:r>
            <w:r>
              <w:rPr>
                <w:rFonts w:ascii="Arial Narrow" w:hAnsi="Arial Narrow"/>
                <w:b/>
                <w:i/>
                <w:sz w:val="24"/>
                <w:szCs w:val="24"/>
                <w:lang w:val="ro-RO"/>
              </w:rPr>
              <w:t>’’</w:t>
            </w:r>
            <w:r w:rsidRPr="00DE719C">
              <w:rPr>
                <w:rFonts w:ascii="Arial Narrow" w:hAnsi="Arial Narrow"/>
                <w:b/>
                <w:i/>
                <w:sz w:val="24"/>
                <w:szCs w:val="24"/>
                <w:lang w:val="ro-RO"/>
              </w:rPr>
              <w:t>.</w:t>
            </w:r>
          </w:p>
          <w:p w:rsidR="00137E32" w:rsidRPr="00DE719C" w:rsidRDefault="00137E32" w:rsidP="00DE719C">
            <w:pPr>
              <w:ind w:right="282"/>
              <w:jc w:val="both"/>
              <w:rPr>
                <w:rFonts w:ascii="Arial Narrow" w:hAnsi="Arial Narrow"/>
                <w:sz w:val="24"/>
                <w:szCs w:val="24"/>
              </w:rPr>
            </w:pPr>
          </w:p>
          <w:p w:rsidR="00CD3BF8" w:rsidRPr="00DE719C" w:rsidRDefault="00CD3BF8" w:rsidP="00DE719C">
            <w:pPr>
              <w:ind w:right="209" w:firstLine="284"/>
              <w:rPr>
                <w:rFonts w:ascii="Arial Narrow" w:hAnsi="Arial Narrow"/>
                <w:sz w:val="24"/>
                <w:szCs w:val="24"/>
                <w:lang w:val="ro-RO"/>
              </w:rPr>
            </w:pPr>
          </w:p>
          <w:p w:rsidR="00BB0FEE" w:rsidRPr="00DE719C" w:rsidRDefault="00BB0FEE" w:rsidP="00DE719C">
            <w:pPr>
              <w:ind w:right="209" w:firstLine="284"/>
              <w:rPr>
                <w:rFonts w:ascii="Arial Narrow" w:hAnsi="Arial Narrow"/>
                <w:sz w:val="24"/>
                <w:szCs w:val="24"/>
                <w:lang w:val="ro-RO"/>
              </w:rPr>
            </w:pPr>
          </w:p>
          <w:p w:rsidR="00BB0FEE" w:rsidRPr="00DE719C" w:rsidRDefault="00BB0FEE" w:rsidP="00DE719C">
            <w:pPr>
              <w:ind w:right="209" w:firstLine="284"/>
              <w:rPr>
                <w:rFonts w:ascii="Arial Narrow" w:hAnsi="Arial Narrow"/>
                <w:sz w:val="24"/>
                <w:szCs w:val="24"/>
                <w:lang w:val="ro-RO"/>
              </w:rPr>
            </w:pPr>
          </w:p>
          <w:p w:rsidR="00BB0FEE" w:rsidRPr="00DE719C" w:rsidRDefault="00BB0FEE" w:rsidP="00DE719C">
            <w:pPr>
              <w:ind w:right="209" w:firstLine="284"/>
              <w:rPr>
                <w:rFonts w:ascii="Arial Narrow" w:hAnsi="Arial Narrow"/>
                <w:sz w:val="24"/>
                <w:szCs w:val="24"/>
                <w:lang w:val="ro-RO"/>
              </w:rPr>
            </w:pPr>
          </w:p>
          <w:p w:rsidR="00BB0FEE" w:rsidRPr="00DE719C" w:rsidRDefault="00BB0FEE" w:rsidP="00DE719C">
            <w:pPr>
              <w:ind w:right="209" w:firstLine="284"/>
              <w:rPr>
                <w:rFonts w:ascii="Arial Narrow" w:hAnsi="Arial Narrow"/>
                <w:sz w:val="24"/>
                <w:szCs w:val="24"/>
                <w:lang w:val="ro-RO"/>
              </w:rPr>
            </w:pPr>
          </w:p>
          <w:p w:rsidR="00BB0FEE" w:rsidRPr="00DE719C" w:rsidRDefault="00BB0FEE" w:rsidP="00DE719C">
            <w:pPr>
              <w:ind w:right="209" w:firstLine="284"/>
              <w:rPr>
                <w:rFonts w:ascii="Arial Narrow" w:hAnsi="Arial Narrow"/>
                <w:sz w:val="24"/>
                <w:szCs w:val="24"/>
                <w:lang w:val="ro-RO"/>
              </w:rPr>
            </w:pPr>
          </w:p>
          <w:p w:rsidR="00BB0FEE" w:rsidRDefault="00BB0FEE" w:rsidP="00DE719C">
            <w:pPr>
              <w:ind w:right="209" w:firstLine="284"/>
              <w:rPr>
                <w:rFonts w:ascii="Arial Narrow" w:hAnsi="Arial Narrow"/>
                <w:sz w:val="24"/>
                <w:szCs w:val="24"/>
                <w:lang w:val="ro-RO"/>
              </w:rPr>
            </w:pPr>
          </w:p>
          <w:p w:rsidR="00DE719C" w:rsidRDefault="00DE719C" w:rsidP="00DE719C">
            <w:pPr>
              <w:ind w:right="209" w:firstLine="284"/>
              <w:rPr>
                <w:rFonts w:ascii="Arial Narrow" w:hAnsi="Arial Narrow"/>
                <w:sz w:val="24"/>
                <w:szCs w:val="24"/>
                <w:lang w:val="ro-RO"/>
              </w:rPr>
            </w:pPr>
          </w:p>
          <w:p w:rsidR="00DE719C" w:rsidRDefault="00DE719C" w:rsidP="00DE719C">
            <w:pPr>
              <w:ind w:right="209" w:firstLine="284"/>
              <w:rPr>
                <w:rFonts w:ascii="Arial Narrow" w:hAnsi="Arial Narrow"/>
                <w:sz w:val="24"/>
                <w:szCs w:val="24"/>
                <w:lang w:val="ro-RO"/>
              </w:rPr>
            </w:pPr>
          </w:p>
          <w:p w:rsidR="00DE719C" w:rsidRDefault="00DE719C" w:rsidP="00DE719C">
            <w:pPr>
              <w:ind w:right="209" w:firstLine="284"/>
              <w:rPr>
                <w:rFonts w:ascii="Arial Narrow" w:hAnsi="Arial Narrow"/>
                <w:sz w:val="24"/>
                <w:szCs w:val="24"/>
                <w:lang w:val="ro-RO"/>
              </w:rPr>
            </w:pPr>
          </w:p>
          <w:p w:rsidR="00DE719C" w:rsidRPr="00DE719C" w:rsidRDefault="00DE719C" w:rsidP="00DE719C">
            <w:pPr>
              <w:ind w:right="209" w:firstLine="284"/>
              <w:rPr>
                <w:rFonts w:ascii="Arial Narrow" w:hAnsi="Arial Narrow"/>
                <w:sz w:val="24"/>
                <w:szCs w:val="24"/>
                <w:lang w:val="ro-RO"/>
              </w:rPr>
            </w:pPr>
          </w:p>
          <w:p w:rsidR="00235D76" w:rsidRPr="00DE719C" w:rsidRDefault="00235D76" w:rsidP="00DE719C">
            <w:pPr>
              <w:jc w:val="both"/>
              <w:rPr>
                <w:rFonts w:ascii="Arial Narrow" w:hAnsi="Arial Narrow"/>
                <w:b/>
                <w:color w:val="000000"/>
                <w:w w:val="105"/>
                <w:sz w:val="24"/>
                <w:szCs w:val="24"/>
                <w:lang w:val="ro-RO"/>
              </w:rPr>
            </w:pPr>
          </w:p>
          <w:p w:rsidR="00DE719C" w:rsidRPr="009322F3" w:rsidRDefault="00DE719C" w:rsidP="00DE719C">
            <w:pPr>
              <w:pStyle w:val="ListParagraph"/>
              <w:numPr>
                <w:ilvl w:val="0"/>
                <w:numId w:val="43"/>
              </w:numPr>
              <w:autoSpaceDE w:val="0"/>
              <w:autoSpaceDN w:val="0"/>
              <w:adjustRightInd w:val="0"/>
              <w:spacing w:line="276" w:lineRule="auto"/>
              <w:ind w:right="282"/>
              <w:jc w:val="both"/>
              <w:rPr>
                <w:b/>
                <w:bCs/>
                <w:kern w:val="28"/>
                <w:lang w:val="ro-RO"/>
              </w:rPr>
            </w:pPr>
            <w:r w:rsidRPr="009322F3">
              <w:rPr>
                <w:b/>
                <w:bCs/>
                <w:kern w:val="28"/>
                <w:lang w:val="ro-RO"/>
              </w:rPr>
              <w:t>TERMEN DE PRESTARE</w:t>
            </w:r>
          </w:p>
          <w:p w:rsidR="00DE719C" w:rsidRPr="00DE719C" w:rsidRDefault="00DE719C" w:rsidP="00DE719C">
            <w:pPr>
              <w:pStyle w:val="Subtitle"/>
              <w:ind w:right="213" w:firstLine="360"/>
              <w:jc w:val="both"/>
              <w:rPr>
                <w:bCs/>
                <w:kern w:val="28"/>
                <w:sz w:val="24"/>
                <w:szCs w:val="24"/>
                <w:lang w:val="fr-FR"/>
              </w:rPr>
            </w:pPr>
            <w:r w:rsidRPr="009322F3">
              <w:rPr>
                <w:i/>
                <w:sz w:val="24"/>
                <w:szCs w:val="24"/>
                <w:lang w:val="ro-RO"/>
              </w:rPr>
              <w:t>Servicii</w:t>
            </w:r>
            <w:r>
              <w:rPr>
                <w:i/>
                <w:sz w:val="24"/>
                <w:szCs w:val="24"/>
                <w:lang w:val="ro-RO"/>
              </w:rPr>
              <w:t>le</w:t>
            </w:r>
            <w:r w:rsidRPr="009322F3">
              <w:rPr>
                <w:i/>
                <w:sz w:val="24"/>
                <w:szCs w:val="24"/>
                <w:lang w:val="ro-RO"/>
              </w:rPr>
              <w:t xml:space="preserve"> de reparare şi de </w:t>
            </w:r>
            <w:r w:rsidRPr="00533049">
              <w:rPr>
                <w:i/>
                <w:sz w:val="24"/>
                <w:szCs w:val="24"/>
                <w:lang w:val="ro-RO"/>
              </w:rPr>
              <w:t>întreţinere a echipamentului</w:t>
            </w:r>
            <w:r w:rsidRPr="009322F3">
              <w:rPr>
                <w:i/>
                <w:sz w:val="24"/>
                <w:szCs w:val="24"/>
                <w:lang w:val="ro-RO"/>
              </w:rPr>
              <w:t xml:space="preserve"> </w:t>
            </w:r>
            <w:r w:rsidRPr="00533049">
              <w:rPr>
                <w:i/>
                <w:sz w:val="24"/>
                <w:szCs w:val="24"/>
                <w:lang w:val="ro-RO"/>
              </w:rPr>
              <w:t>HPLC din cadrul Platformei REFORM</w:t>
            </w:r>
            <w:r w:rsidRPr="00182904">
              <w:rPr>
                <w:b w:val="0"/>
                <w:sz w:val="24"/>
                <w:szCs w:val="24"/>
                <w:lang w:val="ro-RO"/>
              </w:rPr>
              <w:t xml:space="preserve"> </w:t>
            </w:r>
            <w:r w:rsidRPr="00533049">
              <w:rPr>
                <w:b w:val="0"/>
                <w:sz w:val="24"/>
                <w:szCs w:val="24"/>
                <w:lang w:val="ro-RO"/>
              </w:rPr>
              <w:t xml:space="preserve">se vor presta de la data semnării </w:t>
            </w:r>
            <w:r w:rsidRPr="00533049">
              <w:rPr>
                <w:rFonts w:eastAsia="Calibri"/>
                <w:b w:val="0"/>
                <w:iCs/>
                <w:kern w:val="1"/>
                <w:sz w:val="24"/>
                <w:szCs w:val="24"/>
                <w:lang w:val="ro-RO" w:eastAsia="ar-SA"/>
              </w:rPr>
              <w:t xml:space="preserve">angajamentului legal (contract sau comandă) în </w:t>
            </w:r>
            <w:r w:rsidRPr="00DE719C">
              <w:rPr>
                <w:rFonts w:eastAsia="Calibri"/>
                <w:iCs/>
                <w:kern w:val="1"/>
                <w:sz w:val="24"/>
                <w:szCs w:val="24"/>
                <w:lang w:val="ro-RO" w:eastAsia="ar-SA"/>
              </w:rPr>
              <w:t>maxim 42 zile</w:t>
            </w:r>
            <w:r w:rsidRPr="00DE719C">
              <w:rPr>
                <w:rFonts w:eastAsia="Calibri"/>
                <w:i/>
                <w:iCs/>
                <w:kern w:val="1"/>
                <w:sz w:val="24"/>
                <w:szCs w:val="24"/>
                <w:lang w:val="ro-RO" w:eastAsia="ar-SA"/>
              </w:rPr>
              <w:t>.</w:t>
            </w:r>
          </w:p>
          <w:p w:rsidR="00DE719C" w:rsidRDefault="00DE719C" w:rsidP="00DE719C">
            <w:pPr>
              <w:pStyle w:val="BodyText"/>
              <w:rPr>
                <w:rFonts w:ascii="Times New Roman" w:hAnsi="Times New Roman"/>
                <w:b/>
                <w:w w:val="105"/>
                <w:szCs w:val="24"/>
              </w:rPr>
            </w:pPr>
          </w:p>
          <w:p w:rsidR="00DE719C" w:rsidRPr="00533049" w:rsidRDefault="00DE719C" w:rsidP="00DE719C">
            <w:pPr>
              <w:pStyle w:val="ListParagraph"/>
              <w:numPr>
                <w:ilvl w:val="0"/>
                <w:numId w:val="43"/>
              </w:numPr>
              <w:autoSpaceDE w:val="0"/>
              <w:autoSpaceDN w:val="0"/>
              <w:adjustRightInd w:val="0"/>
              <w:spacing w:line="276" w:lineRule="auto"/>
              <w:ind w:right="282"/>
              <w:jc w:val="both"/>
              <w:rPr>
                <w:b/>
                <w:lang w:val="ro-RO" w:eastAsia="ar-SA"/>
              </w:rPr>
            </w:pPr>
            <w:r w:rsidRPr="00533049">
              <w:rPr>
                <w:b/>
                <w:lang w:val="ro-RO" w:eastAsia="ar-SA"/>
              </w:rPr>
              <w:t>DESCRIEREA SERVICIILOR</w:t>
            </w:r>
          </w:p>
          <w:p w:rsidR="00DE719C" w:rsidRDefault="00DE719C" w:rsidP="00DE719C">
            <w:pPr>
              <w:ind w:right="213" w:firstLine="360"/>
              <w:jc w:val="both"/>
            </w:pPr>
            <w:r w:rsidRPr="00533049">
              <w:rPr>
                <w:rFonts w:ascii="Times New Roman" w:hAnsi="Times New Roman"/>
                <w:sz w:val="24"/>
                <w:szCs w:val="24"/>
                <w:lang w:val="ro-RO"/>
              </w:rPr>
              <w:t>Serviciile de reparare şi de întreţinere a echipamentului HPLC din cadrul Platformei REFORM constau în</w:t>
            </w:r>
            <w:r>
              <w:rPr>
                <w:rFonts w:ascii="Times New Roman" w:hAnsi="Times New Roman"/>
                <w:sz w:val="24"/>
                <w:szCs w:val="24"/>
                <w:lang w:val="ro-RO"/>
              </w:rPr>
              <w:t xml:space="preserve"> servicii de înlocuire a ansamblului - modul de degazare Surveyor la echipamentul HPLC Finnigan Surveyor LC, Thermo Scientific. Serviciul se va executa </w:t>
            </w:r>
            <w:r>
              <w:rPr>
                <w:rFonts w:ascii="Times New Roman" w:hAnsi="Times New Roman"/>
                <w:color w:val="000000"/>
                <w:w w:val="105"/>
                <w:lang w:val="it-IT"/>
              </w:rPr>
              <w:t xml:space="preserve">de către prestator după semnarea </w:t>
            </w:r>
            <w:r w:rsidRPr="00292CF1">
              <w:rPr>
                <w:rFonts w:ascii="Times New Roman" w:eastAsia="Calibri" w:hAnsi="Times New Roman"/>
                <w:iCs/>
                <w:kern w:val="1"/>
                <w:sz w:val="24"/>
                <w:szCs w:val="24"/>
                <w:lang w:val="ro-RO" w:eastAsia="ar-SA"/>
              </w:rPr>
              <w:t>angajamentului legal</w:t>
            </w:r>
            <w:r w:rsidRPr="00292CF1">
              <w:rPr>
                <w:rFonts w:ascii="Times New Roman" w:hAnsi="Times New Roman"/>
                <w:color w:val="000000"/>
                <w:w w:val="105"/>
                <w:lang w:val="it-IT"/>
              </w:rPr>
              <w:t>.</w:t>
            </w:r>
            <w:r>
              <w:rPr>
                <w:rFonts w:ascii="Times New Roman" w:hAnsi="Times New Roman"/>
                <w:color w:val="000000"/>
                <w:w w:val="105"/>
                <w:lang w:val="it-IT"/>
              </w:rPr>
              <w:t xml:space="preserve">  </w:t>
            </w:r>
          </w:p>
          <w:p w:rsidR="00DE719C" w:rsidRPr="0044331B" w:rsidRDefault="00DE719C" w:rsidP="00DE719C">
            <w:pPr>
              <w:widowControl w:val="0"/>
              <w:ind w:right="213"/>
              <w:jc w:val="both"/>
              <w:rPr>
                <w:rFonts w:ascii="Times New Roman" w:eastAsia="Calibri" w:hAnsi="Times New Roman"/>
                <w:sz w:val="24"/>
                <w:szCs w:val="24"/>
                <w:lang w:val="ro-RO"/>
              </w:rPr>
            </w:pPr>
            <w:r w:rsidRPr="008B1290">
              <w:rPr>
                <w:rFonts w:ascii="Times New Roman" w:eastAsia="Calibri" w:hAnsi="Times New Roman"/>
                <w:b/>
                <w:sz w:val="24"/>
                <w:szCs w:val="24"/>
                <w:lang w:val="ro-RO"/>
              </w:rPr>
              <w:t xml:space="preserve">Termenul de garanție: min. 3 luni, </w:t>
            </w:r>
            <w:r w:rsidRPr="008B1290">
              <w:rPr>
                <w:rFonts w:ascii="Times New Roman" w:eastAsia="Calibri" w:hAnsi="Times New Roman"/>
                <w:sz w:val="24"/>
                <w:szCs w:val="24"/>
                <w:lang w:val="ro-RO"/>
              </w:rPr>
              <w:t>şi  se va calcula de la data semnării procesului verbal de recepţie a serviciului, de către reprezentanții ambelor părți.</w:t>
            </w:r>
            <w:r w:rsidRPr="0044331B">
              <w:rPr>
                <w:rFonts w:ascii="Times New Roman" w:eastAsia="Calibri" w:hAnsi="Times New Roman"/>
                <w:sz w:val="24"/>
                <w:szCs w:val="24"/>
                <w:lang w:val="ro-RO"/>
              </w:rPr>
              <w:t xml:space="preserve"> </w:t>
            </w:r>
          </w:p>
          <w:p w:rsidR="00DE719C" w:rsidRDefault="00DE719C" w:rsidP="00DE719C">
            <w:pPr>
              <w:pStyle w:val="BodyText"/>
              <w:spacing w:before="12" w:line="276" w:lineRule="auto"/>
            </w:pPr>
          </w:p>
          <w:p w:rsidR="00DE719C" w:rsidRPr="00182904" w:rsidRDefault="00DE719C" w:rsidP="00DE719C">
            <w:pPr>
              <w:numPr>
                <w:ilvl w:val="0"/>
                <w:numId w:val="43"/>
              </w:numPr>
              <w:overflowPunct/>
              <w:spacing w:line="276" w:lineRule="auto"/>
              <w:ind w:right="282"/>
              <w:jc w:val="both"/>
              <w:textAlignment w:val="auto"/>
              <w:rPr>
                <w:rFonts w:ascii="Times New Roman" w:hAnsi="Times New Roman"/>
                <w:b/>
                <w:bCs/>
                <w:kern w:val="28"/>
                <w:sz w:val="24"/>
                <w:szCs w:val="24"/>
                <w:lang w:val="ro-RO"/>
              </w:rPr>
            </w:pPr>
            <w:r w:rsidRPr="00182904">
              <w:rPr>
                <w:rFonts w:ascii="Times New Roman" w:hAnsi="Times New Roman"/>
                <w:b/>
                <w:bCs/>
                <w:kern w:val="28"/>
                <w:sz w:val="24"/>
                <w:szCs w:val="24"/>
                <w:lang w:val="ro-RO"/>
              </w:rPr>
              <w:t xml:space="preserve">PLATA SERVICIILOR </w:t>
            </w:r>
          </w:p>
          <w:p w:rsidR="00DE719C" w:rsidRDefault="00DE719C" w:rsidP="00DE719C">
            <w:pPr>
              <w:ind w:left="360" w:firstLine="360"/>
              <w:jc w:val="both"/>
              <w:rPr>
                <w:rFonts w:ascii="Times New Roman" w:hAnsi="Times New Roman"/>
                <w:color w:val="000000"/>
                <w:sz w:val="24"/>
                <w:szCs w:val="24"/>
                <w:lang w:val="ro-RO"/>
              </w:rPr>
            </w:pPr>
            <w:r w:rsidRPr="008B1290">
              <w:rPr>
                <w:rFonts w:ascii="Times New Roman" w:hAnsi="Times New Roman"/>
                <w:color w:val="000000"/>
                <w:sz w:val="24"/>
                <w:szCs w:val="24"/>
                <w:lang w:val="ro-RO"/>
              </w:rPr>
              <w:t xml:space="preserve">Plata se va efectua cu OP, în termen de maxim 30 zile de la prestarea </w:t>
            </w:r>
            <w:r>
              <w:rPr>
                <w:rFonts w:ascii="Times New Roman" w:hAnsi="Times New Roman"/>
                <w:color w:val="000000"/>
                <w:sz w:val="24"/>
                <w:szCs w:val="24"/>
                <w:lang w:val="ro-RO"/>
              </w:rPr>
              <w:t>serviciului</w:t>
            </w:r>
            <w:r w:rsidRPr="008B1290">
              <w:rPr>
                <w:rFonts w:ascii="Times New Roman" w:hAnsi="Times New Roman"/>
                <w:color w:val="000000"/>
                <w:sz w:val="24"/>
                <w:szCs w:val="24"/>
                <w:lang w:val="ro-RO"/>
              </w:rPr>
              <w:t xml:space="preserve"> și semnarea de ambele părți a procesului verbal de recepție a acest</w:t>
            </w:r>
            <w:r>
              <w:rPr>
                <w:rFonts w:ascii="Times New Roman" w:hAnsi="Times New Roman"/>
                <w:color w:val="000000"/>
                <w:sz w:val="24"/>
                <w:szCs w:val="24"/>
                <w:lang w:val="ro-RO"/>
              </w:rPr>
              <w:t>uia</w:t>
            </w:r>
            <w:r w:rsidRPr="008B1290">
              <w:rPr>
                <w:rFonts w:ascii="Times New Roman" w:hAnsi="Times New Roman"/>
                <w:color w:val="000000"/>
                <w:sz w:val="24"/>
                <w:szCs w:val="24"/>
                <w:lang w:val="ro-RO"/>
              </w:rPr>
              <w:t xml:space="preserve">, în contul din trezorerie al </w:t>
            </w:r>
            <w:r>
              <w:rPr>
                <w:rFonts w:ascii="Times New Roman" w:hAnsi="Times New Roman"/>
                <w:color w:val="000000"/>
                <w:sz w:val="24"/>
                <w:szCs w:val="24"/>
                <w:lang w:val="ro-RO"/>
              </w:rPr>
              <w:t>prestatorului</w:t>
            </w:r>
            <w:r w:rsidRPr="008B1290">
              <w:rPr>
                <w:rFonts w:ascii="Times New Roman" w:hAnsi="Times New Roman"/>
                <w:color w:val="000000"/>
                <w:sz w:val="24"/>
                <w:szCs w:val="24"/>
                <w:lang w:val="ro-RO"/>
              </w:rPr>
              <w:t>.</w:t>
            </w:r>
          </w:p>
          <w:p w:rsidR="00DE719C" w:rsidRDefault="00DE719C" w:rsidP="00DE719C">
            <w:pPr>
              <w:ind w:left="360" w:firstLine="360"/>
              <w:jc w:val="both"/>
              <w:rPr>
                <w:rFonts w:ascii="Times New Roman" w:hAnsi="Times New Roman"/>
                <w:color w:val="000000"/>
                <w:sz w:val="24"/>
                <w:szCs w:val="24"/>
                <w:lang w:val="ro-RO"/>
              </w:rPr>
            </w:pPr>
          </w:p>
          <w:p w:rsidR="00DE719C" w:rsidRDefault="00DE719C" w:rsidP="00DE719C">
            <w:pPr>
              <w:numPr>
                <w:ilvl w:val="0"/>
                <w:numId w:val="43"/>
              </w:numPr>
              <w:suppressAutoHyphens/>
              <w:overflowPunct/>
              <w:autoSpaceDN/>
              <w:adjustRightInd/>
              <w:spacing w:line="276" w:lineRule="auto"/>
              <w:ind w:right="3"/>
              <w:jc w:val="both"/>
              <w:textAlignment w:val="auto"/>
              <w:rPr>
                <w:rFonts w:ascii="Times New Roman" w:hAnsi="Times New Roman"/>
                <w:bCs/>
                <w:kern w:val="1"/>
                <w:sz w:val="24"/>
                <w:szCs w:val="24"/>
                <w:lang w:val="ro-RO"/>
              </w:rPr>
            </w:pPr>
            <w:r>
              <w:rPr>
                <w:rFonts w:ascii="Times New Roman" w:hAnsi="Times New Roman"/>
                <w:b/>
                <w:sz w:val="24"/>
                <w:szCs w:val="24"/>
                <w:lang w:val="ro-RO"/>
              </w:rPr>
              <w:t xml:space="preserve">CONDIȚII IMPUSE PENTRU SECURITATEA ȘI SĂNĂTATEA ÎN MUNCĂ ȘI PROTECȚIA MUNCII </w:t>
            </w:r>
          </w:p>
          <w:p w:rsidR="00DE719C" w:rsidRDefault="00DE719C" w:rsidP="00DE719C">
            <w:pPr>
              <w:shd w:val="clear" w:color="auto" w:fill="FFFFFF"/>
              <w:ind w:right="3" w:firstLine="644"/>
              <w:jc w:val="both"/>
              <w:rPr>
                <w:rFonts w:ascii="Times New Roman" w:hAnsi="Times New Roman"/>
                <w:bCs/>
                <w:kern w:val="1"/>
                <w:sz w:val="24"/>
                <w:szCs w:val="24"/>
                <w:lang w:val="ro-RO"/>
              </w:rPr>
            </w:pPr>
            <w:r>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p>
          <w:p w:rsidR="00137E32" w:rsidRPr="00DE719C" w:rsidRDefault="00137E32" w:rsidP="00DE719C">
            <w:pPr>
              <w:ind w:right="209"/>
              <w:rPr>
                <w:rFonts w:ascii="Arial Narrow" w:hAnsi="Arial Narrow"/>
                <w:sz w:val="24"/>
                <w:szCs w:val="24"/>
              </w:rPr>
            </w:pPr>
          </w:p>
          <w:p w:rsidR="00137E32" w:rsidRPr="00DE719C" w:rsidRDefault="00137E32" w:rsidP="00DE719C">
            <w:pPr>
              <w:ind w:right="209" w:firstLine="284"/>
              <w:rPr>
                <w:rFonts w:ascii="Arial Narrow" w:hAnsi="Arial Narrow"/>
                <w:sz w:val="24"/>
                <w:szCs w:val="24"/>
                <w:lang w:val="ro-RO"/>
              </w:rPr>
            </w:pPr>
          </w:p>
        </w:tc>
        <w:tc>
          <w:tcPr>
            <w:tcW w:w="3597" w:type="dxa"/>
            <w:tcMar>
              <w:left w:w="57" w:type="dxa"/>
              <w:right w:w="57" w:type="dxa"/>
            </w:tcMar>
          </w:tcPr>
          <w:p w:rsidR="00CD3BF8" w:rsidRPr="00DE719C" w:rsidRDefault="00CD3BF8" w:rsidP="00DE719C">
            <w:pPr>
              <w:spacing w:before="120" w:after="120"/>
              <w:jc w:val="both"/>
              <w:rPr>
                <w:rFonts w:ascii="Arial Narrow" w:hAnsi="Arial Narrow" w:cs="Arial"/>
                <w:sz w:val="24"/>
                <w:szCs w:val="24"/>
              </w:rPr>
            </w:pPr>
            <w:r w:rsidRPr="00DE719C">
              <w:rPr>
                <w:rFonts w:ascii="Arial Narrow" w:hAnsi="Arial Narrow" w:cs="Arial"/>
                <w:sz w:val="24"/>
                <w:szCs w:val="24"/>
              </w:rPr>
              <w:lastRenderedPageBreak/>
              <w:t>Descrierea tehnică detaliată a servici</w:t>
            </w:r>
            <w:r w:rsidR="00DE719C" w:rsidRPr="00DE719C">
              <w:rPr>
                <w:rFonts w:ascii="Arial Narrow" w:hAnsi="Arial Narrow" w:cs="Arial"/>
                <w:sz w:val="24"/>
                <w:szCs w:val="24"/>
              </w:rPr>
              <w:t>u</w:t>
            </w:r>
            <w:r w:rsidRPr="00DE719C">
              <w:rPr>
                <w:rFonts w:ascii="Arial Narrow" w:hAnsi="Arial Narrow" w:cs="Arial"/>
                <w:sz w:val="24"/>
                <w:szCs w:val="24"/>
              </w:rPr>
              <w:t>l</w:t>
            </w:r>
            <w:r w:rsidR="00DE719C" w:rsidRPr="00DE719C">
              <w:rPr>
                <w:rFonts w:ascii="Arial Narrow" w:hAnsi="Arial Narrow" w:cs="Arial"/>
                <w:sz w:val="24"/>
                <w:szCs w:val="24"/>
              </w:rPr>
              <w:t>ui</w:t>
            </w:r>
            <w:r w:rsidRPr="00DE719C">
              <w:rPr>
                <w:rFonts w:ascii="Arial Narrow" w:hAnsi="Arial Narrow" w:cs="Arial"/>
                <w:sz w:val="24"/>
                <w:szCs w:val="24"/>
              </w:rPr>
              <w:t xml:space="preserve"> ofertat, precum şi alte informaţii considerate semnificative, în vederea verificării corespondenţei propunerii tehnice cu specificaţiile tehnice prevăzute în caietul de sarcini. </w:t>
            </w:r>
          </w:p>
          <w:p w:rsidR="00CD3BF8" w:rsidRPr="00DE719C" w:rsidRDefault="00CD3BF8" w:rsidP="00DE719C">
            <w:pPr>
              <w:spacing w:before="120" w:after="120"/>
              <w:rPr>
                <w:rFonts w:ascii="Arial Narrow" w:hAnsi="Arial Narrow" w:cs="Arial"/>
                <w:sz w:val="24"/>
                <w:szCs w:val="24"/>
              </w:rPr>
            </w:pPr>
          </w:p>
          <w:p w:rsidR="00CD3BF8" w:rsidRPr="00DE719C" w:rsidRDefault="00CD3BF8" w:rsidP="00DE719C">
            <w:pPr>
              <w:spacing w:before="120" w:after="120"/>
              <w:jc w:val="both"/>
              <w:rPr>
                <w:rFonts w:ascii="Arial Narrow" w:hAnsi="Arial Narrow"/>
                <w:b/>
                <w:i/>
                <w:color w:val="000000"/>
                <w:sz w:val="24"/>
                <w:szCs w:val="24"/>
              </w:rPr>
            </w:pPr>
            <w:r w:rsidRPr="00DE719C">
              <w:rPr>
                <w:rFonts w:ascii="Arial Narrow" w:hAnsi="Arial Narrow"/>
                <w:b/>
                <w:i/>
                <w:color w:val="000000"/>
                <w:sz w:val="24"/>
                <w:szCs w:val="24"/>
              </w:rPr>
              <w:t xml:space="preserve">SE COMPLETEAZĂ DE CĂTRE OFERTANT CUM RESPECTĂ CERINȚELE TEHNICE MINIMALE SOLICITATE ÎN CAIETUL DE SARCINI. </w:t>
            </w:r>
          </w:p>
          <w:p w:rsidR="00CD3BF8" w:rsidRPr="00DE719C" w:rsidRDefault="00CD3BF8" w:rsidP="00DE719C">
            <w:pPr>
              <w:spacing w:before="120" w:after="120"/>
              <w:jc w:val="both"/>
              <w:rPr>
                <w:rFonts w:ascii="Arial Narrow" w:hAnsi="Arial Narrow" w:cs="Arial"/>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bookmarkStart w:id="0" w:name="_GoBack"/>
      <w:bookmarkEnd w:id="0"/>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77" w:rsidRDefault="00FB4477">
      <w:r>
        <w:separator/>
      </w:r>
    </w:p>
  </w:endnote>
  <w:endnote w:type="continuationSeparator" w:id="0">
    <w:p w:rsidR="00FB4477" w:rsidRDefault="00FB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77" w:rsidRDefault="00FB4477">
      <w:r>
        <w:separator/>
      </w:r>
    </w:p>
  </w:footnote>
  <w:footnote w:type="continuationSeparator" w:id="0">
    <w:p w:rsidR="00FB4477" w:rsidRDefault="00FB4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915D3"/>
    <w:multiLevelType w:val="hybridMultilevel"/>
    <w:tmpl w:val="0094A7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num>
  <w:num w:numId="7">
    <w:abstractNumId w:val="11"/>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9"/>
  </w:num>
  <w:num w:numId="15">
    <w:abstractNumId w:val="6"/>
  </w:num>
  <w:num w:numId="16">
    <w:abstractNumId w:val="7"/>
  </w:num>
  <w:num w:numId="17">
    <w:abstractNumId w:val="40"/>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3"/>
  </w:num>
  <w:num w:numId="25">
    <w:abstractNumId w:val="12"/>
  </w:num>
  <w:num w:numId="26">
    <w:abstractNumId w:val="34"/>
  </w:num>
  <w:num w:numId="27">
    <w:abstractNumId w:val="38"/>
  </w:num>
  <w:num w:numId="28">
    <w:abstractNumId w:val="28"/>
  </w:num>
  <w:num w:numId="29">
    <w:abstractNumId w:val="34"/>
  </w:num>
  <w:num w:numId="30">
    <w:abstractNumId w:val="34"/>
  </w:num>
  <w:num w:numId="31">
    <w:abstractNumId w:val="25"/>
  </w:num>
  <w:num w:numId="32">
    <w:abstractNumId w:val="30"/>
  </w:num>
  <w:num w:numId="33">
    <w:abstractNumId w:val="39"/>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7F218B"/>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719C"/>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4477"/>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AC71F-30B7-40C0-830B-1F8FD001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2019-02-15T08:38:00Z</cp:lastPrinted>
  <dcterms:created xsi:type="dcterms:W3CDTF">2018-03-12T13:25:00Z</dcterms:created>
  <dcterms:modified xsi:type="dcterms:W3CDTF">2019-03-27T08:41:00Z</dcterms:modified>
</cp:coreProperties>
</file>