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E81CDF">
              <w:rPr>
                <w:rFonts w:ascii="Times New Roman" w:hAnsi="Times New Roman"/>
                <w:sz w:val="22"/>
                <w:szCs w:val="22"/>
                <w:lang w:eastAsia="ja-JP"/>
              </w:rPr>
              <w:t>6</w:t>
            </w:r>
            <w:bookmarkStart w:id="0" w:name="_GoBack"/>
            <w:bookmarkEnd w:id="0"/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7E28E4" w:rsidRPr="00E33764" w:rsidRDefault="007E28E4" w:rsidP="007E28E4">
            <w:pPr>
              <w:ind w:right="28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3E8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Sistem audio-video compus din televizoare, videoproiector, instalație sonorizare, suporți, conectică și instalare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1 buc, compus din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13508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764"/>
              <w:gridCol w:w="3992"/>
              <w:gridCol w:w="1750"/>
              <w:gridCol w:w="1750"/>
              <w:gridCol w:w="1751"/>
              <w:gridCol w:w="1751"/>
            </w:tblGrid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6E5901" w:rsidRDefault="007E28E4" w:rsidP="007E28E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E59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Denumire Produs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6E5901" w:rsidRDefault="007E28E4" w:rsidP="007E28E4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E5901">
                    <w:rPr>
                      <w:rFonts w:ascii="Times New Roman" w:eastAsia="Calibri" w:hAnsi="Times New Roman"/>
                      <w:b/>
                      <w:bCs/>
                      <w:iCs/>
                      <w:sz w:val="24"/>
                      <w:szCs w:val="24"/>
                    </w:rPr>
                    <w:t>Cant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F62FC3" w:rsidRDefault="007E28E4" w:rsidP="007E28E4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</w:pPr>
                  <w:r w:rsidRPr="00F32FF2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</w:rPr>
                    <w:t>Specificaţii tehnice SAU cerințe funcționale minime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906350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03E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Televizor Smart TV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903E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55" 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Default="007E28E4" w:rsidP="007E28E4">
                  <w:pPr>
                    <w:suppressAutoHyphens/>
                    <w:ind w:left="162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7E28E4" w:rsidRPr="00906350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12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934DC8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Tip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: </w:t>
                  </w: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Smart TV</w:t>
                  </w:r>
                </w:p>
                <w:p w:rsidR="007E28E4" w:rsidRPr="00934DC8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Diagonala display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 55”</w:t>
                  </w:r>
                </w:p>
                <w:p w:rsidR="007E28E4" w:rsidRPr="00934DC8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Tehnologie display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 D-</w:t>
                  </w: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LED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2544E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4K UHD</w:t>
                  </w:r>
                </w:p>
                <w:p w:rsidR="007E28E4" w:rsidRPr="00934DC8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34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Tehnologie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video: </w:t>
                  </w:r>
                  <w:r w:rsidRPr="003F081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Dolby Vision HDR (12-bit)</w:t>
                  </w:r>
                </w:p>
                <w:p w:rsidR="007E28E4" w:rsidRPr="00E369E7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E369E7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ehnologie audio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E369E7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Dolby ATMOS</w:t>
                  </w:r>
                  <w:r w:rsidRPr="002544E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8E297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&amp; Dolby Digital (DD+)</w:t>
                  </w:r>
                </w:p>
                <w:p w:rsidR="007E28E4" w:rsidRPr="005C5283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C528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Sistem TV: DVB-T2|C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Luminozitate: 220 nits 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Interfețe:  3 x HDMI 2.1, 1 x USB</w:t>
                  </w:r>
                </w:p>
                <w:p w:rsidR="007E28E4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Alte cerințe: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SmartTV-UI 3.0 (WiFi) + AmazonAlexa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asistent vocal Amazon Alexa Built-In Voice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Assistant + Far Field Microphone Box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mod integrat Hotel TV 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wireless display 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conectivitate facilă direct de pe telecomanda: Netflix, Amazon Prime Video, Youtube 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USB Player (mpeg4, mkv)</w:t>
                  </w:r>
                </w:p>
                <w:p w:rsidR="007E28E4" w:rsidRPr="00232E6E" w:rsidRDefault="007E28E4" w:rsidP="007E28E4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Carcasa: Metallic Design (12mm) VeryNarrow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232E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Twin-Foot Stand</w:t>
                  </w:r>
                </w:p>
                <w:p w:rsidR="007E28E4" w:rsidRPr="000F525E" w:rsidRDefault="007E28E4" w:rsidP="007E28E4">
                  <w:pPr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Accesorii: telecomanda cu baterii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0525BF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0525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Suport de tavan pentru 3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t</w:t>
                  </w:r>
                  <w:r w:rsidRPr="000525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elevizoare 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0525BF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525B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0525BF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Tip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Fix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0525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E3312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multibrackets</w:t>
                  </w:r>
                </w:p>
                <w:p w:rsidR="007E28E4" w:rsidRPr="000525BF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Tip montare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Tavan</w:t>
                  </w:r>
                </w:p>
                <w:p w:rsidR="007E28E4" w:rsidRPr="000525BF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Diagonala compatibila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40 –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65 inch</w:t>
                  </w:r>
                </w:p>
                <w:p w:rsidR="007E28E4" w:rsidRPr="000525BF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Greutate maxima suportata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30 Kg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/ TV</w:t>
                  </w:r>
                </w:p>
                <w:p w:rsidR="007E28E4" w:rsidRPr="000525BF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Compatibilitate VESA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0525BF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600 x 400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630AE4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Suport TV </w:t>
                  </w:r>
                  <w:r w:rsidRPr="00630A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19"-65", reglabil, de perete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630AE4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lastRenderedPageBreak/>
                    <w:t>3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Tip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Reglabil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lastRenderedPageBreak/>
                    <w:t>Tip mobilitate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   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Verticala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Tip montare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Perete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Unghi maxim mobilitate verticala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15 °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Distanta de la perete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7.5 cm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Diagonala compatibila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19 – 65 inch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Greutate maxima suportata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50 Kg</w:t>
                  </w:r>
                </w:p>
                <w:p w:rsidR="007E28E4" w:rsidRPr="00630AE4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Compatibilitate VESA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630AE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ab/>
                    <w:t>75 x 75, 400 x 400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BE00E3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val="ro-RO"/>
                    </w:rPr>
                  </w:pPr>
                  <w:r w:rsidRPr="00FA58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Videoproiector wireless, Miracast, Laser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FA58DA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FA58D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Tehnologie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3LCD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Luminozitate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7.000 Lumen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–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4.900 Lumen (economic) 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Rezoluţie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WUXGA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High Definition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Full HD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Raport de aspect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16:10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Raport contrast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2.500.000 : 1</w:t>
                  </w:r>
                </w:p>
                <w:p w:rsidR="007E28E4" w:rsidRPr="00F54EE1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Durabilitate lampa: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20.000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o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re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High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, 30.000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ore (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Eco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  <w:p w:rsidR="007E28E4" w:rsidRPr="00F54EE1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Corecţie Keystone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Manual ± 30 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v / h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ulori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1,07 miliarde culori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Raport proiecţie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1,35 - 2,20:1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Zoom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Manual,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actor 1 - 1,6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Dimensiuni proiecţie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50 inci - 500 inci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Unghi larg distanţă proiecţie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1,4 m - 14,8 m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Distanţă proiecţie tele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2,4 m - 23,8 m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Distanţă de proiecţie Wide/Tele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1,44 m - 23,84 m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Numărul F lenti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la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proiecţie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1,5 - 1,7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Distanţă focală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20 mm - 31,8 mm</w:t>
                  </w:r>
                </w:p>
                <w:p w:rsidR="007E28E4" w:rsidRPr="00485B4B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Conexiuni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USB 2.0-A, USB 2.0, RS-232C, Interfaţă Ethernet (100 Base-TX/10 Base-T), LAN IEEE 802.11a/b/g/n/ac wireless, LAN wireless b/g/g 25 GHz, LAN wireless a/n (5 GHz), Intrare VGA (2x), Ieşire VGA, Ieşire HDMI, HDBaseT, Miracast, Jack plug out, Jack plug in (2x), HDMI (HDCP 2.3) (2x), Redare USB 2 Tip A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Nivel de zgomot</w:t>
                  </w:r>
                </w:p>
                <w:p w:rsidR="007E28E4" w:rsidRPr="0084197A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84197A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Normal: 38 dB (A) - Economic: 27 dB (A)</w:t>
                  </w:r>
                </w:p>
                <w:p w:rsidR="007E28E4" w:rsidRPr="00CF0553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F0553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Accesorii:</w:t>
                  </w:r>
                  <w:r w:rsidRPr="00CF0553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</w:t>
                  </w:r>
                  <w:r w:rsidRPr="00CF0553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ablu de alimentare,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</w:t>
                  </w:r>
                  <w:r w:rsidRPr="00CF0553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elecomanda cu baterii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A05E79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Lift pentru videoproiector 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A05E79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Dimensiune maxima proiector: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570 x 600mm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Reglabil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pe inaltim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Montare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pe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tavan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Actionare: cu m</w:t>
                  </w: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otor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Inaltime max de la tavan: 196 cm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Greutate maximă suportata: 30 kg</w:t>
                  </w:r>
                </w:p>
                <w:p w:rsidR="007E28E4" w:rsidRPr="00A05E79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05E79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Accesorii: telecomanda si kit de finisare tavan fals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4A30C8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4A30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Ecran proiectie </w:t>
                  </w:r>
                  <w:r w:rsidRPr="004A30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electric, perete/tavan, 16:10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4A30C8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A30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lastRenderedPageBreak/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Dimensiunea vizibila: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387,6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cm / 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242,3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lastRenderedPageBreak/>
                    <w:t>cm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Lungime carcasa: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422,6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cm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Tip proiectie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din față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Format ecran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16:10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Montaj ecran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perete/tavan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Bordura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 n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eagra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Actionare: 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electric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  <w:p w:rsidR="007E28E4" w:rsidRPr="004A30C8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Accesorii: t</w:t>
                  </w:r>
                  <w:r w:rsidRPr="004A30C8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elecomanda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775745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757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Sistem audio profesional:  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(A) Amplificator 120W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(B) Boxa de tavan 10W (10 buc.)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(C) Set 2 microfoane wireless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(D) Mixer audio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(E) Boxa activa (2 buc.)</w:t>
                  </w:r>
                </w:p>
                <w:p w:rsidR="007E28E4" w:rsidRPr="00775745" w:rsidRDefault="007E28E4" w:rsidP="007E28E4">
                  <w:pPr>
                    <w:pStyle w:val="ListParagraph"/>
                    <w:numPr>
                      <w:ilvl w:val="0"/>
                      <w:numId w:val="47"/>
                    </w:numPr>
                    <w:suppressAutoHyphens/>
                    <w:ind w:left="158" w:hanging="270"/>
                    <w:rPr>
                      <w:b/>
                      <w:bCs/>
                      <w:lang w:val="ro-RO"/>
                    </w:rPr>
                  </w:pPr>
                  <w:r w:rsidRPr="00775745">
                    <w:rPr>
                      <w:b/>
                      <w:bCs/>
                      <w:lang w:val="ro-RO"/>
                    </w:rPr>
                    <w:t>(F) Stand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775745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775745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CD286D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suppressAutoHyphens/>
                    <w:rPr>
                      <w:lang w:val="ro-RO"/>
                    </w:rPr>
                  </w:pPr>
                  <w:r w:rsidRPr="00CD286D">
                    <w:rPr>
                      <w:lang w:val="ro-RO"/>
                    </w:rPr>
                    <w:t>amplificator 120W</w:t>
                  </w:r>
                </w:p>
                <w:p w:rsidR="007E28E4" w:rsidRPr="0043640F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Iesire nominala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ab/>
                    <w:t>120W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Iesire AUX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ab/>
                    <w:t>1V</w:t>
                  </w:r>
                </w:p>
                <w:p w:rsidR="007E28E4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Sensibilitatea intrarii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ab/>
                    <w:t>Mic1,2: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3mV(±0.5mV)  neechilibrat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Line 1,2,3 : 300mV(±30mV)  neechilibrat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Frecventa de raspuns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ab/>
                    <w:t>65Hz-20kHz (±3dB)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Distorsiune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: </w:t>
                  </w: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mai mica de 1% la 1kHz </w:t>
                  </w:r>
                </w:p>
                <w:p w:rsidR="007E28E4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3640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Raportul semnalului cu raportul zgomotului: mai mare de 80dB</w:t>
                  </w:r>
                </w:p>
                <w:p w:rsidR="007E28E4" w:rsidRPr="0043640F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7E28E4" w:rsidRPr="00CD286D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suppressAutoHyphens/>
                    <w:rPr>
                      <w:lang w:val="ro-RO"/>
                    </w:rPr>
                  </w:pPr>
                  <w:r w:rsidRPr="00CD286D">
                    <w:rPr>
                      <w:lang w:val="ro-RO"/>
                    </w:rPr>
                    <w:t>Boxa de tavan 10W (10 buc.)</w:t>
                  </w:r>
                </w:p>
                <w:p w:rsidR="007E28E4" w:rsidRPr="00D62670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Montare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avan</w:t>
                  </w:r>
                </w:p>
                <w:p w:rsidR="007E28E4" w:rsidRPr="00D62670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Impedanta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: </w:t>
                  </w: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100V</w:t>
                  </w:r>
                </w:p>
                <w:p w:rsidR="007E28E4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Putere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D6267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ab/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W</w:t>
                  </w:r>
                </w:p>
                <w:p w:rsidR="007E28E4" w:rsidRPr="00F03A6B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:rsidR="007E28E4" w:rsidRPr="00CD286D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suppressAutoHyphens/>
                    <w:rPr>
                      <w:lang w:val="ro-RO"/>
                    </w:rPr>
                  </w:pPr>
                  <w:r w:rsidRPr="00CD286D">
                    <w:rPr>
                      <w:lang w:val="ro-RO"/>
                    </w:rPr>
                    <w:t>Set 2 microfoane wireless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Modulatie digitala : ADC / DAC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Frecventa : 863.100 / 863.900 / 864.900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Banda de frecventa AF: 20Hz-18kHz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Latenta circuitelor digitale: &lt; 3 ms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Gama de frecventa: 50 Hz - 16 Khz</w:t>
                  </w:r>
                </w:p>
                <w:p w:rsidR="007E28E4" w:rsidRPr="00A47411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Raport semnal/zgomot: &gt;85dB</w:t>
                  </w:r>
                </w:p>
                <w:p w:rsidR="007E28E4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47411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Distanta maxima de functionare: 60 m</w:t>
                  </w:r>
                </w:p>
                <w:p w:rsidR="007E28E4" w:rsidRPr="00F03A6B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:rsidR="007E28E4" w:rsidRPr="003B299A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suppressAutoHyphens/>
                    <w:rPr>
                      <w:lang w:val="ro-RO"/>
                    </w:rPr>
                  </w:pPr>
                  <w:r w:rsidRPr="003B299A">
                    <w:rPr>
                      <w:lang w:val="ro-RO"/>
                    </w:rPr>
                    <w:t>Mixer audio</w:t>
                  </w:r>
                </w:p>
                <w:p w:rsidR="007E28E4" w:rsidRPr="003B299A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B299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Număr canale: 2 mono + 2 stereo</w:t>
                  </w:r>
                </w:p>
                <w:p w:rsidR="007E28E4" w:rsidRPr="003B299A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B299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Banda de frecvente: 10 - 150000 Hz</w:t>
                  </w:r>
                </w:p>
                <w:p w:rsidR="007E28E4" w:rsidRPr="003B299A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B299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Tip EQ: analog</w:t>
                  </w:r>
                </w:p>
                <w:p w:rsidR="007E28E4" w:rsidRPr="003B299A" w:rsidRDefault="007E28E4" w:rsidP="007E28E4">
                  <w:pPr>
                    <w:suppressAutoHyphens/>
                    <w:ind w:left="-16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B299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Număr benzi EQ: 3 </w:t>
                  </w:r>
                </w:p>
                <w:p w:rsidR="007E28E4" w:rsidRPr="00F03A6B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  <w:p w:rsidR="007E28E4" w:rsidRPr="004951F0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suppressAutoHyphens/>
                    <w:rPr>
                      <w:lang w:val="ro-RO"/>
                    </w:rPr>
                  </w:pPr>
                  <w:r w:rsidRPr="004951F0">
                    <w:rPr>
                      <w:lang w:val="ro-RO"/>
                    </w:rPr>
                    <w:t>Boxa activa (2 buc.)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 cai,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MP3-player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ifuzor basi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12 toli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river inalte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cu iesire de 1 tol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Caracteristici amplificator: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utere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180W RMS/300W max.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B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anda de frecventa: 40Hz-20kHz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ntrare microfon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XLR/Jack6,3mm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ntrare line 2xRCA / XLR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esire line out XLR/Jack6,3mm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eglaj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e: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volum microfon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volum line in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volum general/line out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corectii de ton basi si inalte</w:t>
                  </w:r>
                </w:p>
                <w:p w:rsidR="007E28E4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</w:t>
                  </w:r>
                  <w:r w:rsidRPr="00A51C3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cran LCD pt control MP3</w:t>
                  </w:r>
                </w:p>
                <w:p w:rsidR="007E28E4" w:rsidRPr="00A51C3C" w:rsidRDefault="007E28E4" w:rsidP="007E28E4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7E28E4" w:rsidRPr="002B0BD5" w:rsidRDefault="007E28E4" w:rsidP="007E28E4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bCs/>
                      <w:lang w:val="ro-RO"/>
                    </w:rPr>
                  </w:pPr>
                  <w:r w:rsidRPr="002B0BD5">
                    <w:rPr>
                      <w:lang w:val="ro-RO"/>
                    </w:rPr>
                    <w:lastRenderedPageBreak/>
                    <w:t>Stand</w:t>
                  </w:r>
                </w:p>
                <w:p w:rsidR="007E28E4" w:rsidRPr="007B335A" w:rsidRDefault="007E28E4" w:rsidP="007E28E4">
                  <w:pPr>
                    <w:pStyle w:val="ListParagraph"/>
                    <w:ind w:left="344"/>
                    <w:rPr>
                      <w:bCs/>
                      <w:highlight w:val="yellow"/>
                      <w:lang w:val="ro-RO"/>
                    </w:rPr>
                  </w:pPr>
                  <w:r w:rsidRPr="002B0BD5">
                    <w:rPr>
                      <w:lang w:val="ro-RO"/>
                    </w:rPr>
                    <w:t>Minim 2 polițe pentru amplificator si mixer audio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EA1F76" w:rsidRDefault="007E28E4" w:rsidP="007E28E4">
                  <w:pPr>
                    <w:suppressAutoHyphens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EA1F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Tableta 10.5"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EA1F76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A1F7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Conectivitate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u SIM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Sistem de operare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Android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Tehnologii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Bluetooth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GPS GLONASS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Wi-Fi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Senzori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giroscop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enzor geomagnetic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Hall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,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enzor lumina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,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cceleratie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Functii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Galileo QZSS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Dimensiuni: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16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2 x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24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7 x 6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.9 mm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Greutate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508 g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Material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Aluminiu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P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rocesor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 8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nuclee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.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2 GHz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Tehnologie display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TFT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Diagonala display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10.5 inch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Rezolutie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1920 x 1200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Numar culori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16 M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Capacitate memorie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3 GB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Capacitate stocare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32 GB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Tip slot memorie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MicroSD 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Capacitate maxima card de memorie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1 TB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Versiune Bluetooth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V5.0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Wireless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802.11 a/b/g/n/ac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Porturi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1 x USB 2.0 1 x 3.5 mm audio jack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Capacitate acumulator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7040 mAh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Rezolutie camera principala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ab/>
                    <w:t>8 Mpx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Rezolutie camera frontala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: </w:t>
                  </w: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5 Mpx</w:t>
                  </w:r>
                </w:p>
                <w:p w:rsidR="007E28E4" w:rsidRPr="00EA1F76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EA1F76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Accesorii: incărcator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C15E87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15E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Switch HDMI 16 porturi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C15E87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15E87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Device: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Multiplicator/Splitter</w:t>
                  </w:r>
                </w:p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Numar porturi:16</w:t>
                  </w:r>
                </w:p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Rezolutie maxima: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3840 x 2160 @ 60 Hz</w:t>
                  </w:r>
                </w:p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Alimentare suplimentara: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Priza</w:t>
                  </w:r>
                </w:p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Compatibilități: 3D, HDR, 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HDCP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: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 xml:space="preserve"> 2.2</w:t>
                  </w:r>
                </w:p>
                <w:p w:rsidR="007E28E4" w:rsidRPr="00C15E87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</w:pP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Carcasa: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15E87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metalica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E28E4" w:rsidTr="007E28E4">
              <w:tc>
                <w:tcPr>
                  <w:tcW w:w="1750" w:type="dxa"/>
                  <w:vAlign w:val="center"/>
                </w:tcPr>
                <w:p w:rsidR="007E28E4" w:rsidRPr="00ED62A3" w:rsidRDefault="007E28E4" w:rsidP="007E28E4">
                  <w:pPr>
                    <w:suppressAutoHyphens/>
                    <w:ind w:left="-5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ED62A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Cabluri, conectică</w:t>
                  </w:r>
                </w:p>
              </w:tc>
              <w:tc>
                <w:tcPr>
                  <w:tcW w:w="764" w:type="dxa"/>
                  <w:vAlign w:val="center"/>
                </w:tcPr>
                <w:p w:rsidR="007E28E4" w:rsidRPr="00ED62A3" w:rsidRDefault="007E28E4" w:rsidP="007E28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D62A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992" w:type="dxa"/>
                  <w:vAlign w:val="center"/>
                </w:tcPr>
                <w:p w:rsidR="007E28E4" w:rsidRPr="00ED62A3" w:rsidRDefault="007E28E4" w:rsidP="007E28E4">
                  <w:pPr>
                    <w:ind w:left="-16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ED62A3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Asigurarea conectivității sistemelor audio și TV</w:t>
                  </w: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0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51" w:type="dxa"/>
                </w:tcPr>
                <w:p w:rsidR="007E28E4" w:rsidRDefault="007E28E4" w:rsidP="007E28E4">
                  <w:pPr>
                    <w:overflowPunct/>
                    <w:spacing w:line="276" w:lineRule="auto"/>
                    <w:ind w:right="282"/>
                    <w:jc w:val="both"/>
                    <w:textAlignment w:val="auto"/>
                    <w:rPr>
                      <w:rFonts w:ascii="Times New Roman" w:hAnsi="Times New Roman"/>
                      <w:b/>
                      <w:bCs/>
                      <w:kern w:val="28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B3C91" w:rsidRDefault="00EB3C91" w:rsidP="00C0597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EB3C91" w:rsidRDefault="007E28E4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36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Default="00EB3C91" w:rsidP="00C23FC5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</w:t>
            </w:r>
          </w:p>
        </w:tc>
      </w:tr>
      <w:tr w:rsidR="00EB3C91" w:rsidRPr="0046004B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7E28E4" w:rsidRPr="007E28E4" w:rsidRDefault="007E28E4" w:rsidP="007E28E4">
            <w:pPr>
              <w:rPr>
                <w:rFonts w:ascii="Times New Roman" w:hAnsi="Times New Roman"/>
                <w:kern w:val="2"/>
                <w:sz w:val="24"/>
                <w:szCs w:val="24"/>
                <w:lang w:val="ro-RO" w:eastAsia="ar-SA"/>
              </w:rPr>
            </w:pPr>
            <w:r w:rsidRPr="007E28E4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Produsele vor fi livrate şi recepţionate la adresa: Str. Științei nr. 2 Corp G, Galați.</w:t>
            </w:r>
          </w:p>
          <w:p w:rsidR="00EB3C91" w:rsidRPr="00C0597C" w:rsidRDefault="00EB3C91" w:rsidP="00C0597C">
            <w:pPr>
              <w:ind w:left="284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7E28E4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C23FC5" w:rsidRDefault="00C23FC5">
      <w:pPr>
        <w:overflowPunct/>
        <w:autoSpaceDE/>
        <w:autoSpaceDN/>
        <w:adjustRightInd/>
        <w:textAlignment w:val="auto"/>
        <w:rPr>
          <w:rFonts w:ascii="Arial Narrow" w:hAnsi="Arial Narrow"/>
          <w:b/>
          <w:i/>
          <w:lang w:val="ro-RO"/>
        </w:rPr>
      </w:pPr>
      <w:r>
        <w:rPr>
          <w:rFonts w:ascii="Arial Narrow" w:hAnsi="Arial Narrow"/>
          <w:b/>
          <w:i/>
          <w:lang w:val="ro-RO"/>
        </w:rPr>
        <w:br w:type="page"/>
      </w: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lastRenderedPageBreak/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7E28E4" w:rsidRPr="007E28E4">
        <w:rPr>
          <w:b/>
          <w:sz w:val="20"/>
          <w:szCs w:val="20"/>
          <w:lang w:val="ro-RO"/>
        </w:rPr>
        <w:t>Sistem audio-video compus din televizoare, videoproiector, instalație sonorizare, suporți, conectică și instalare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7E28E4" w:rsidRPr="007E28E4">
        <w:rPr>
          <w:b/>
          <w:sz w:val="20"/>
          <w:szCs w:val="20"/>
          <w:lang w:val="ro-RO"/>
        </w:rPr>
        <w:t xml:space="preserve"> Sistem audio-video compus din televizoare, videoproiector, instalație sonorizare, suporți, conectică și instalare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7E28E4">
        <w:rPr>
          <w:b/>
          <w:i/>
          <w:noProof/>
          <w:sz w:val="20"/>
          <w:szCs w:val="20"/>
          <w:highlight w:val="yellow"/>
        </w:rPr>
        <w:t>3</w:t>
      </w:r>
      <w:r w:rsidR="00013DDC">
        <w:rPr>
          <w:b/>
          <w:i/>
          <w:noProof/>
          <w:sz w:val="20"/>
          <w:szCs w:val="20"/>
          <w:highlight w:val="yellow"/>
        </w:rPr>
        <w:t>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7E28E4" w:rsidRDefault="007E28E4" w:rsidP="007E28E4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8E4">
              <w:rPr>
                <w:rFonts w:ascii="Times New Roman" w:hAnsi="Times New Roman"/>
                <w:lang w:val="ro-RO"/>
              </w:rPr>
              <w:t>Sistem audio-video compus din televizoare, videoproiector, instalație sonorizare, suporți, conectică și instalare</w:t>
            </w:r>
          </w:p>
        </w:tc>
        <w:tc>
          <w:tcPr>
            <w:tcW w:w="904" w:type="dxa"/>
          </w:tcPr>
          <w:p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81" w:rsidRDefault="003D2881">
      <w:r>
        <w:separator/>
      </w:r>
    </w:p>
  </w:endnote>
  <w:endnote w:type="continuationSeparator" w:id="0">
    <w:p w:rsidR="003D2881" w:rsidRDefault="003D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81" w:rsidRDefault="003D2881">
      <w:r>
        <w:separator/>
      </w:r>
    </w:p>
  </w:footnote>
  <w:footnote w:type="continuationSeparator" w:id="0">
    <w:p w:rsidR="003D2881" w:rsidRDefault="003D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0E796DB7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20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201BD"/>
    <w:multiLevelType w:val="hybridMultilevel"/>
    <w:tmpl w:val="4010379C"/>
    <w:lvl w:ilvl="0" w:tplc="A59CD6F0">
      <w:start w:val="1"/>
      <w:numFmt w:val="upperLetter"/>
      <w:lvlText w:val="(%1)"/>
      <w:lvlJc w:val="left"/>
      <w:pPr>
        <w:ind w:left="3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4" w:hanging="360"/>
      </w:pPr>
    </w:lvl>
    <w:lvl w:ilvl="2" w:tplc="0418001B" w:tentative="1">
      <w:start w:val="1"/>
      <w:numFmt w:val="lowerRoman"/>
      <w:lvlText w:val="%3."/>
      <w:lvlJc w:val="right"/>
      <w:pPr>
        <w:ind w:left="1784" w:hanging="180"/>
      </w:pPr>
    </w:lvl>
    <w:lvl w:ilvl="3" w:tplc="0418000F" w:tentative="1">
      <w:start w:val="1"/>
      <w:numFmt w:val="decimal"/>
      <w:lvlText w:val="%4."/>
      <w:lvlJc w:val="left"/>
      <w:pPr>
        <w:ind w:left="2504" w:hanging="360"/>
      </w:pPr>
    </w:lvl>
    <w:lvl w:ilvl="4" w:tplc="04180019" w:tentative="1">
      <w:start w:val="1"/>
      <w:numFmt w:val="lowerLetter"/>
      <w:lvlText w:val="%5."/>
      <w:lvlJc w:val="left"/>
      <w:pPr>
        <w:ind w:left="3224" w:hanging="360"/>
      </w:pPr>
    </w:lvl>
    <w:lvl w:ilvl="5" w:tplc="0418001B" w:tentative="1">
      <w:start w:val="1"/>
      <w:numFmt w:val="lowerRoman"/>
      <w:lvlText w:val="%6."/>
      <w:lvlJc w:val="right"/>
      <w:pPr>
        <w:ind w:left="3944" w:hanging="180"/>
      </w:pPr>
    </w:lvl>
    <w:lvl w:ilvl="6" w:tplc="0418000F" w:tentative="1">
      <w:start w:val="1"/>
      <w:numFmt w:val="decimal"/>
      <w:lvlText w:val="%7."/>
      <w:lvlJc w:val="left"/>
      <w:pPr>
        <w:ind w:left="4664" w:hanging="360"/>
      </w:pPr>
    </w:lvl>
    <w:lvl w:ilvl="7" w:tplc="04180019" w:tentative="1">
      <w:start w:val="1"/>
      <w:numFmt w:val="lowerLetter"/>
      <w:lvlText w:val="%8."/>
      <w:lvlJc w:val="left"/>
      <w:pPr>
        <w:ind w:left="5384" w:hanging="360"/>
      </w:pPr>
    </w:lvl>
    <w:lvl w:ilvl="8" w:tplc="041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46066C4"/>
    <w:multiLevelType w:val="hybridMultilevel"/>
    <w:tmpl w:val="55760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4"/>
  </w:num>
  <w:num w:numId="7">
    <w:abstractNumId w:val="11"/>
  </w:num>
  <w:num w:numId="8">
    <w:abstractNumId w:val="29"/>
  </w:num>
  <w:num w:numId="9">
    <w:abstractNumId w:val="37"/>
  </w:num>
  <w:num w:numId="10">
    <w:abstractNumId w:val="0"/>
  </w:num>
  <w:num w:numId="11">
    <w:abstractNumId w:val="0"/>
  </w:num>
  <w:num w:numId="12">
    <w:abstractNumId w:val="36"/>
  </w:num>
  <w:num w:numId="13">
    <w:abstractNumId w:val="39"/>
  </w:num>
  <w:num w:numId="14">
    <w:abstractNumId w:val="22"/>
  </w:num>
  <w:num w:numId="15">
    <w:abstractNumId w:val="3"/>
  </w:num>
  <w:num w:numId="16">
    <w:abstractNumId w:val="4"/>
  </w:num>
  <w:num w:numId="17">
    <w:abstractNumId w:val="43"/>
  </w:num>
  <w:num w:numId="18">
    <w:abstractNumId w:val="9"/>
  </w:num>
  <w:num w:numId="19">
    <w:abstractNumId w:val="17"/>
  </w:num>
  <w:num w:numId="20">
    <w:abstractNumId w:val="16"/>
  </w:num>
  <w:num w:numId="21">
    <w:abstractNumId w:val="21"/>
  </w:num>
  <w:num w:numId="22">
    <w:abstractNumId w:val="27"/>
  </w:num>
  <w:num w:numId="23">
    <w:abstractNumId w:val="20"/>
  </w:num>
  <w:num w:numId="24">
    <w:abstractNumId w:val="32"/>
  </w:num>
  <w:num w:numId="25">
    <w:abstractNumId w:val="14"/>
  </w:num>
  <w:num w:numId="26">
    <w:abstractNumId w:val="34"/>
  </w:num>
  <w:num w:numId="27">
    <w:abstractNumId w:val="40"/>
  </w:num>
  <w:num w:numId="28">
    <w:abstractNumId w:val="28"/>
  </w:num>
  <w:num w:numId="29">
    <w:abstractNumId w:val="34"/>
  </w:num>
  <w:num w:numId="30">
    <w:abstractNumId w:val="34"/>
  </w:num>
  <w:num w:numId="31">
    <w:abstractNumId w:val="1"/>
  </w:num>
  <w:num w:numId="32">
    <w:abstractNumId w:val="13"/>
  </w:num>
  <w:num w:numId="33">
    <w:abstractNumId w:val="25"/>
  </w:num>
  <w:num w:numId="34">
    <w:abstractNumId w:val="41"/>
  </w:num>
  <w:num w:numId="35">
    <w:abstractNumId w:val="23"/>
  </w:num>
  <w:num w:numId="36">
    <w:abstractNumId w:val="8"/>
  </w:num>
  <w:num w:numId="37">
    <w:abstractNumId w:val="15"/>
  </w:num>
  <w:num w:numId="38">
    <w:abstractNumId w:val="31"/>
  </w:num>
  <w:num w:numId="39">
    <w:abstractNumId w:val="18"/>
  </w:num>
  <w:num w:numId="40">
    <w:abstractNumId w:val="6"/>
  </w:num>
  <w:num w:numId="41">
    <w:abstractNumId w:val="35"/>
  </w:num>
  <w:num w:numId="42">
    <w:abstractNumId w:val="7"/>
  </w:num>
  <w:num w:numId="43">
    <w:abstractNumId w:val="42"/>
  </w:num>
  <w:num w:numId="44">
    <w:abstractNumId w:val="12"/>
  </w:num>
  <w:num w:numId="45">
    <w:abstractNumId w:val="30"/>
  </w:num>
  <w:num w:numId="46">
    <w:abstractNumId w:val="5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D2881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28E4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3FC5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58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1CDF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basedOn w:val="DefaultParagraphFont"/>
    <w:link w:val="ListParagraph"/>
    <w:qFormat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7FAF-7E4D-400F-9330-2038328F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330</cp:revision>
  <cp:lastPrinted>2021-03-29T13:13:00Z</cp:lastPrinted>
  <dcterms:created xsi:type="dcterms:W3CDTF">2019-04-01T12:15:00Z</dcterms:created>
  <dcterms:modified xsi:type="dcterms:W3CDTF">2022-06-20T10:23:00Z</dcterms:modified>
</cp:coreProperties>
</file>