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9A4DDC" w:rsidRPr="00E06029" w:rsidRDefault="005A2F49" w:rsidP="009A4DDC">
      <w:pPr>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E06029">
        <w:rPr>
          <w:rFonts w:ascii="Times New Roman" w:eastAsia="Calibri" w:hAnsi="Times New Roman"/>
          <w:bCs/>
          <w:i/>
          <w:sz w:val="24"/>
          <w:szCs w:val="24"/>
        </w:rPr>
        <w:t xml:space="preserve"> </w:t>
      </w:r>
      <w:r w:rsidR="009A4DDC" w:rsidRPr="00E06029">
        <w:rPr>
          <w:rFonts w:ascii="Times New Roman" w:hAnsi="Times New Roman"/>
          <w:i/>
          <w:noProof/>
          <w:sz w:val="24"/>
          <w:szCs w:val="24"/>
        </w:rPr>
        <w:t>Propunere tehnică pentru atribuirea contractului;</w:t>
      </w:r>
    </w:p>
    <w:p w:rsidR="005A2F49" w:rsidRPr="00E06029" w:rsidRDefault="005A2F49" w:rsidP="005A2F49">
      <w:pPr>
        <w:ind w:left="1416" w:hanging="1416"/>
        <w:rPr>
          <w:rFonts w:ascii="Times New Roman" w:hAnsi="Times New Roman"/>
          <w:i/>
          <w:noProof/>
          <w:sz w:val="24"/>
          <w:szCs w:val="24"/>
        </w:rPr>
      </w:pPr>
    </w:p>
    <w:p w:rsidR="009A4DDC" w:rsidRPr="00E06029" w:rsidRDefault="00CA4F69" w:rsidP="009A4DDC">
      <w:pPr>
        <w:rPr>
          <w:rFonts w:ascii="Times New Roman" w:hAnsi="Times New Roman"/>
          <w:i/>
          <w:noProof/>
          <w:sz w:val="24"/>
          <w:szCs w:val="24"/>
        </w:rPr>
      </w:pPr>
      <w:r w:rsidRPr="00E06029">
        <w:rPr>
          <w:rFonts w:ascii="Times New Roman" w:hAnsi="Times New Roman"/>
          <w:i/>
          <w:noProof/>
          <w:sz w:val="24"/>
          <w:szCs w:val="24"/>
        </w:rPr>
        <w:t xml:space="preserve">Formularul  – </w:t>
      </w:r>
      <w:r w:rsidR="009A4DDC">
        <w:rPr>
          <w:rFonts w:ascii="Times New Roman" w:hAnsi="Times New Roman"/>
          <w:i/>
          <w:noProof/>
          <w:sz w:val="24"/>
          <w:szCs w:val="24"/>
        </w:rPr>
        <w:t>2</w:t>
      </w:r>
      <w:r w:rsidRPr="00E06029">
        <w:rPr>
          <w:rFonts w:ascii="Times New Roman" w:hAnsi="Times New Roman"/>
          <w:i/>
          <w:noProof/>
          <w:sz w:val="24"/>
          <w:szCs w:val="24"/>
        </w:rPr>
        <w:tab/>
      </w:r>
      <w:r w:rsidR="009A4DDC" w:rsidRPr="00E06029">
        <w:rPr>
          <w:rFonts w:ascii="Times New Roman" w:hAnsi="Times New Roman"/>
          <w:i/>
          <w:noProof/>
          <w:sz w:val="24"/>
          <w:szCs w:val="24"/>
        </w:rPr>
        <w:t xml:space="preserve">Formular de oferta (propunere financiara) pentru atribuirea </w:t>
      </w:r>
      <w:r w:rsidR="009A4DDC">
        <w:rPr>
          <w:rFonts w:ascii="Times New Roman" w:hAnsi="Times New Roman"/>
          <w:i/>
          <w:noProof/>
          <w:sz w:val="24"/>
          <w:szCs w:val="24"/>
        </w:rPr>
        <w:t xml:space="preserve"> </w:t>
      </w:r>
      <w:r w:rsidR="009A4DDC" w:rsidRPr="00E06029">
        <w:rPr>
          <w:rFonts w:ascii="Times New Roman" w:hAnsi="Times New Roman"/>
          <w:i/>
          <w:noProof/>
          <w:sz w:val="24"/>
          <w:szCs w:val="24"/>
        </w:rPr>
        <w:t>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r>
      <w:r w:rsidR="009A4DDC" w:rsidRPr="00E06029">
        <w:rPr>
          <w:rFonts w:ascii="Times New Roman" w:hAnsi="Times New Roman"/>
          <w:i/>
          <w:noProof/>
          <w:sz w:val="24"/>
          <w:szCs w:val="24"/>
        </w:rPr>
        <w:t>Centralizator de preţuri;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r>
      <w:r w:rsidR="009A4DDC" w:rsidRPr="00E06029">
        <w:rPr>
          <w:rFonts w:ascii="Times New Roman" w:hAnsi="Times New Roman"/>
          <w:i/>
          <w:noProof/>
          <w:sz w:val="24"/>
          <w:szCs w:val="24"/>
        </w:rPr>
        <w:t>Declaratie privind sanatate si securitatea in munca;</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9A4DDC" w:rsidRDefault="009A4DDC" w:rsidP="00E5056B">
      <w:pPr>
        <w:jc w:val="right"/>
        <w:rPr>
          <w:rFonts w:ascii="Times New Roman" w:hAnsi="Times New Roman"/>
          <w:i/>
          <w:noProof/>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9A4DDC">
        <w:rPr>
          <w:rFonts w:ascii="Times New Roman" w:hAnsi="Times New Roman"/>
          <w:b/>
          <w:i/>
          <w:noProof/>
          <w:sz w:val="18"/>
          <w:szCs w:val="18"/>
        </w:rPr>
        <w:t>1</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580"/>
        <w:gridCol w:w="4078"/>
      </w:tblGrid>
      <w:tr w:rsidR="00BB09AA" w:rsidRPr="000B776E" w:rsidTr="00636F59">
        <w:trPr>
          <w:jc w:val="center"/>
        </w:trPr>
        <w:tc>
          <w:tcPr>
            <w:tcW w:w="499"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558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078"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636F59">
        <w:trPr>
          <w:trHeight w:val="566"/>
          <w:jc w:val="center"/>
        </w:trPr>
        <w:tc>
          <w:tcPr>
            <w:tcW w:w="499"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5580" w:type="dxa"/>
            <w:tcMar>
              <w:left w:w="57" w:type="dxa"/>
              <w:right w:w="57" w:type="dxa"/>
            </w:tcMar>
          </w:tcPr>
          <w:p w:rsidR="009A4DDC" w:rsidRPr="009A4DDC" w:rsidRDefault="009A4DDC" w:rsidP="009A4DDC">
            <w:pPr>
              <w:overflowPunct/>
              <w:autoSpaceDE/>
              <w:autoSpaceDN/>
              <w:adjustRightInd/>
              <w:spacing w:after="200" w:line="276" w:lineRule="auto"/>
              <w:ind w:left="33" w:right="282" w:firstLine="522"/>
              <w:contextualSpacing/>
              <w:textAlignment w:val="auto"/>
              <w:rPr>
                <w:rFonts w:ascii="Times New Roman" w:eastAsia="Times New Roman" w:hAnsi="Times New Roman"/>
                <w:b/>
                <w:sz w:val="24"/>
                <w:szCs w:val="24"/>
                <w:lang w:val="ro-RO"/>
              </w:rPr>
            </w:pPr>
            <w:r w:rsidRPr="009A4DDC">
              <w:rPr>
                <w:rFonts w:ascii="Times New Roman" w:eastAsia="Times New Roman" w:hAnsi="Times New Roman"/>
                <w:b/>
                <w:sz w:val="24"/>
                <w:szCs w:val="24"/>
                <w:lang w:val="ro-RO"/>
              </w:rPr>
              <w:t>Servicii de actualizare abonament lunar la programele de informare  legislativ</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 Lege 5 Online LEADER, Lege 5 Online BASIC, Serviciu urm</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rire dosare în instanț</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 xml:space="preserve">  - sau echivalent.</w:t>
            </w:r>
          </w:p>
          <w:p w:rsidR="009A4DDC" w:rsidRDefault="009A4DDC" w:rsidP="009A4DDC">
            <w:pPr>
              <w:overflowPunct/>
              <w:autoSpaceDE/>
              <w:autoSpaceDN/>
              <w:adjustRightInd/>
              <w:spacing w:after="200" w:line="276" w:lineRule="auto"/>
              <w:ind w:left="555" w:right="282"/>
              <w:contextualSpacing/>
              <w:textAlignment w:val="auto"/>
              <w:rPr>
                <w:rFonts w:ascii="Times New Roman" w:eastAsia="Times New Roman" w:hAnsi="Times New Roman"/>
                <w:sz w:val="24"/>
                <w:szCs w:val="24"/>
                <w:lang w:val="ro-RO"/>
              </w:rPr>
            </w:pPr>
          </w:p>
          <w:p w:rsidR="009A4DDC" w:rsidRDefault="009A4DDC" w:rsidP="009A4DDC">
            <w:pPr>
              <w:overflowPunct/>
              <w:autoSpaceDE/>
              <w:autoSpaceDN/>
              <w:adjustRightInd/>
              <w:spacing w:after="200" w:line="276" w:lineRule="auto"/>
              <w:ind w:left="555" w:right="282"/>
              <w:contextualSpacing/>
              <w:textAlignment w:val="auto"/>
              <w:rPr>
                <w:rFonts w:ascii="Times New Roman" w:eastAsia="Times New Roman" w:hAnsi="Times New Roman"/>
                <w:sz w:val="24"/>
                <w:szCs w:val="24"/>
                <w:lang w:val="ro-RO"/>
              </w:rPr>
            </w:pPr>
          </w:p>
          <w:p w:rsidR="009A4DDC" w:rsidRPr="009A4DDC" w:rsidRDefault="009A4DDC" w:rsidP="00636F59">
            <w:pPr>
              <w:numPr>
                <w:ilvl w:val="0"/>
                <w:numId w:val="36"/>
              </w:numPr>
              <w:overflowPunct/>
              <w:autoSpaceDE/>
              <w:autoSpaceDN/>
              <w:adjustRightInd/>
              <w:spacing w:after="200" w:line="276" w:lineRule="auto"/>
              <w:ind w:left="555" w:right="282" w:hanging="270"/>
              <w:contextualSpacing/>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 xml:space="preserve">abonanent Lege 5 Online LEADER </w:t>
            </w:r>
            <w:r w:rsidRPr="009A4DDC">
              <w:rPr>
                <w:rFonts w:ascii="Times New Roman" w:eastAsia="Times New Roman" w:hAnsi="Times New Roman"/>
                <w:sz w:val="24"/>
                <w:szCs w:val="24"/>
                <w:lang w:val="ro-RO"/>
              </w:rPr>
              <w:t xml:space="preserve">, </w:t>
            </w:r>
            <w:r w:rsidRPr="009A4DDC">
              <w:rPr>
                <w:rFonts w:ascii="Times New Roman" w:eastAsia="Times New Roman" w:hAnsi="Times New Roman"/>
                <w:b/>
                <w:sz w:val="24"/>
                <w:szCs w:val="24"/>
                <w:lang w:val="ro-RO"/>
              </w:rPr>
              <w:t xml:space="preserve">sau echivalent- </w:t>
            </w:r>
            <w:r w:rsidRPr="009A4DDC">
              <w:rPr>
                <w:rFonts w:ascii="Times New Roman" w:eastAsia="Times New Roman" w:hAnsi="Times New Roman"/>
                <w:sz w:val="24"/>
                <w:szCs w:val="24"/>
                <w:lang w:val="ro-RO"/>
              </w:rPr>
              <w:t>3 buc/lună</w:t>
            </w:r>
            <w:r w:rsidRPr="009A4DDC">
              <w:rPr>
                <w:rFonts w:ascii="Times New Roman" w:eastAsia="Times New Roman" w:hAnsi="Times New Roman"/>
                <w:b/>
                <w:sz w:val="24"/>
                <w:szCs w:val="24"/>
                <w:lang w:val="ro-RO"/>
              </w:rPr>
              <w:t>:</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Legislaţia României publicată în M.OF. partea I, a V-a, a VI-a şi partea I bis, cu publicare în ziua apariției;</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Achiziţii publice – M.OF. partea a VI-a;</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Modele de contracte, cereri, acţiuni – forme actualizate;</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Forum de discuţii – locul de întâlnire al persoanelor interesate de domeniile juridic, financiar, contabilitate;</w:t>
            </w:r>
          </w:p>
          <w:p w:rsidR="009A4DDC" w:rsidRPr="009A4DDC" w:rsidRDefault="009A4DDC" w:rsidP="00636F59">
            <w:pPr>
              <w:widowControl w:val="0"/>
              <w:numPr>
                <w:ilvl w:val="0"/>
                <w:numId w:val="32"/>
              </w:numPr>
              <w:overflowPunct/>
              <w:autoSpaceDE/>
              <w:autoSpaceDN/>
              <w:adjustRightInd/>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Legislaţie RO la zi – forme consolidate,</w:t>
            </w:r>
          </w:p>
          <w:p w:rsidR="009A4DDC" w:rsidRPr="009A4DDC" w:rsidRDefault="00636F59" w:rsidP="00636F59">
            <w:pPr>
              <w:widowControl w:val="0"/>
              <w:numPr>
                <w:ilvl w:val="0"/>
                <w:numId w:val="34"/>
              </w:numPr>
              <w:tabs>
                <w:tab w:val="left" w:pos="2160"/>
              </w:tabs>
              <w:overflowPunct/>
              <w:autoSpaceDE/>
              <w:autoSpaceDN/>
              <w:adjustRightInd/>
              <w:spacing w:line="276" w:lineRule="auto"/>
              <w:ind w:left="2373"/>
              <w:jc w:val="both"/>
              <w:textAlignment w:val="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9A4DDC" w:rsidRPr="009A4DDC">
              <w:rPr>
                <w:rFonts w:ascii="Times New Roman" w:eastAsia="Times New Roman" w:hAnsi="Times New Roman"/>
                <w:sz w:val="24"/>
                <w:szCs w:val="24"/>
                <w:lang w:val="ro-RO"/>
              </w:rPr>
              <w:t>istoric legislativ,</w:t>
            </w:r>
          </w:p>
          <w:p w:rsidR="009A4DDC" w:rsidRPr="009A4DDC" w:rsidRDefault="009A4DDC" w:rsidP="00636F59">
            <w:pPr>
              <w:widowControl w:val="0"/>
              <w:numPr>
                <w:ilvl w:val="0"/>
                <w:numId w:val="34"/>
              </w:numPr>
              <w:tabs>
                <w:tab w:val="left" w:pos="2373"/>
              </w:tabs>
              <w:overflowPunct/>
              <w:autoSpaceDE/>
              <w:autoSpaceDN/>
              <w:adjustRightInd/>
              <w:spacing w:line="276" w:lineRule="auto"/>
              <w:ind w:left="2193" w:hanging="180"/>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versionarea articolelor de lege;</w:t>
            </w:r>
          </w:p>
          <w:p w:rsidR="009A4DDC" w:rsidRPr="009A4DDC" w:rsidRDefault="009A4DDC" w:rsidP="00636F59">
            <w:pPr>
              <w:widowControl w:val="0"/>
              <w:overflowPunct/>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Comentarii Expert – cele main noi opinii – la nivel de paragraph pentru cele mai importante acte: Cod Procedura civila, Codul civil, Cod procedura penala, Codul muncii, Codul penal, Codul fiscal;</w:t>
            </w:r>
          </w:p>
          <w:p w:rsidR="009A4DDC" w:rsidRPr="009A4DDC" w:rsidRDefault="009A4DDC" w:rsidP="00636F59">
            <w:pPr>
              <w:widowControl w:val="0"/>
              <w:overflowPunct/>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Jurisprudenţa României – bază de date generoas</w:t>
            </w:r>
            <w:r w:rsidR="00636F59">
              <w:rPr>
                <w:rFonts w:ascii="Times New Roman" w:eastAsia="Times New Roman" w:hAnsi="Times New Roman"/>
                <w:sz w:val="24"/>
                <w:szCs w:val="24"/>
                <w:lang w:val="ro-RO"/>
              </w:rPr>
              <w:t>e</w:t>
            </w:r>
            <w:r w:rsidRPr="009A4DDC">
              <w:rPr>
                <w:rFonts w:ascii="Times New Roman" w:eastAsia="Times New Roman" w:hAnsi="Times New Roman"/>
                <w:sz w:val="24"/>
                <w:szCs w:val="24"/>
                <w:lang w:val="ro-RO"/>
              </w:rPr>
              <w:t xml:space="preserve"> care include cea mai mare colecţie de speţe  şi în exclusivitate Decizii ale ANAF, Hotărâri CSC şi Decizii ale CNSC;</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Calendar Fiscal – informaţii preluate direct de pe site-ul ANAF;</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Legislaţia UE: toate actele normative publicate în Jurnalul Oficial al Comunităţii Europene, în limba română, grupate pe tematici şi subtematici;</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Jurisprudenţa europeană: decizii emise de către instanţele de judecată ale UE;</w:t>
            </w:r>
          </w:p>
          <w:p w:rsidR="009A4DDC" w:rsidRPr="00FF4E5C" w:rsidRDefault="009A4DDC" w:rsidP="00636F59">
            <w:pPr>
              <w:widowControl w:val="0"/>
              <w:numPr>
                <w:ilvl w:val="0"/>
                <w:numId w:val="35"/>
              </w:numPr>
              <w:overflowPunct/>
              <w:autoSpaceDE/>
              <w:autoSpaceDN/>
              <w:adjustRightInd/>
              <w:spacing w:after="200" w:line="276" w:lineRule="auto"/>
              <w:ind w:left="175" w:hanging="175"/>
              <w:jc w:val="both"/>
              <w:textAlignment w:val="auto"/>
              <w:rPr>
                <w:rFonts w:ascii="Times New Roman" w:eastAsia="Times New Roman" w:hAnsi="Times New Roman"/>
                <w:i/>
                <w:sz w:val="24"/>
                <w:szCs w:val="24"/>
                <w:lang w:val="ro-RO"/>
              </w:rPr>
            </w:pPr>
            <w:r w:rsidRPr="009A4DDC">
              <w:rPr>
                <w:rFonts w:ascii="Times New Roman" w:eastAsia="Times New Roman" w:hAnsi="Times New Roman"/>
                <w:sz w:val="24"/>
                <w:szCs w:val="24"/>
                <w:lang w:val="ro-RO"/>
              </w:rPr>
              <w:t>Buletinul Procedurilor de insolvenţă.</w:t>
            </w:r>
          </w:p>
          <w:p w:rsidR="00FF4E5C" w:rsidRPr="009A4DDC" w:rsidRDefault="00FF4E5C" w:rsidP="00FF4E5C">
            <w:pPr>
              <w:widowControl w:val="0"/>
              <w:overflowPunct/>
              <w:autoSpaceDE/>
              <w:autoSpaceDN/>
              <w:adjustRightInd/>
              <w:spacing w:after="200" w:line="276" w:lineRule="auto"/>
              <w:ind w:left="175"/>
              <w:jc w:val="both"/>
              <w:textAlignment w:val="auto"/>
              <w:rPr>
                <w:rFonts w:ascii="Times New Roman" w:eastAsia="Times New Roman" w:hAnsi="Times New Roman"/>
                <w:i/>
                <w:sz w:val="24"/>
                <w:szCs w:val="24"/>
                <w:lang w:val="ro-RO"/>
              </w:rPr>
            </w:pPr>
          </w:p>
          <w:p w:rsidR="009A4DDC" w:rsidRPr="009A4DDC" w:rsidRDefault="009A4DDC" w:rsidP="00636F59">
            <w:pPr>
              <w:overflowPunct/>
              <w:autoSpaceDE/>
              <w:autoSpaceDN/>
              <w:adjustRightInd/>
              <w:spacing w:after="200" w:line="276" w:lineRule="auto"/>
              <w:ind w:left="285" w:right="282" w:hanging="285"/>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2</w:t>
            </w:r>
            <w:r w:rsidRPr="009A4DDC">
              <w:rPr>
                <w:rFonts w:ascii="Times New Roman" w:eastAsia="Times New Roman" w:hAnsi="Times New Roman"/>
                <w:sz w:val="24"/>
                <w:szCs w:val="24"/>
                <w:lang w:val="ro-RO"/>
              </w:rPr>
              <w:t>-</w:t>
            </w:r>
            <w:r w:rsidRPr="009A4DDC">
              <w:rPr>
                <w:rFonts w:ascii="Times New Roman" w:eastAsia="Times New Roman" w:hAnsi="Times New Roman"/>
                <w:b/>
                <w:sz w:val="24"/>
                <w:szCs w:val="24"/>
                <w:lang w:val="ro-RO"/>
              </w:rPr>
              <w:t xml:space="preserve"> abonanent LEGE 5 Online BASIC</w:t>
            </w:r>
            <w:r w:rsidRPr="009A4DDC">
              <w:rPr>
                <w:rFonts w:ascii="Times New Roman" w:eastAsia="Times New Roman" w:hAnsi="Times New Roman"/>
                <w:sz w:val="24"/>
                <w:szCs w:val="24"/>
                <w:lang w:val="ro-RO"/>
              </w:rPr>
              <w:t xml:space="preserve">, </w:t>
            </w:r>
            <w:r w:rsidRPr="009A4DDC">
              <w:rPr>
                <w:rFonts w:ascii="Times New Roman" w:eastAsia="Times New Roman" w:hAnsi="Times New Roman"/>
                <w:b/>
                <w:sz w:val="24"/>
                <w:szCs w:val="24"/>
                <w:lang w:val="ro-RO"/>
              </w:rPr>
              <w:t xml:space="preserve">sau echivalent – </w:t>
            </w:r>
            <w:r w:rsidRPr="009A4DDC">
              <w:rPr>
                <w:rFonts w:ascii="Times New Roman" w:eastAsia="Times New Roman" w:hAnsi="Times New Roman"/>
                <w:sz w:val="24"/>
                <w:szCs w:val="24"/>
                <w:lang w:val="ro-RO"/>
              </w:rPr>
              <w:t>2 buc/lună</w:t>
            </w:r>
            <w:r w:rsidRPr="009A4DDC">
              <w:rPr>
                <w:rFonts w:ascii="Times New Roman" w:eastAsia="Times New Roman" w:hAnsi="Times New Roman"/>
                <w:b/>
                <w:sz w:val="24"/>
                <w:szCs w:val="24"/>
                <w:lang w:val="ro-RO"/>
              </w:rPr>
              <w:t>:</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 xml:space="preserve">Legislația României publicată în MOF partea I, </w:t>
            </w:r>
          </w:p>
          <w:p w:rsidR="009A4DDC" w:rsidRPr="009A4DDC" w:rsidRDefault="009A4DDC" w:rsidP="00636F59">
            <w:pPr>
              <w:widowControl w:val="0"/>
              <w:overflowPunct/>
              <w:spacing w:line="276" w:lineRule="auto"/>
              <w:ind w:left="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a  VI-a și partea I bis;</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Modele de contracte, cereri, acțiuni – forme actualizate;</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lastRenderedPageBreak/>
              <w:t>Clasificări – Clasificarea Ocupațiilor din România (COR), Clasificarea Activităților din Economia Națională (CAEN), Clasificarea Produselor și Serviciilor adiacente Activităților din Economia Națională (CPSA), Regulamentul privind Vocabularul comun privind achizițiile publice (CPV);</w:t>
            </w:r>
          </w:p>
          <w:p w:rsidR="009A4DDC" w:rsidRPr="009A4DDC" w:rsidRDefault="009A4DDC" w:rsidP="00636F59">
            <w:pPr>
              <w:widowControl w:val="0"/>
              <w:numPr>
                <w:ilvl w:val="0"/>
                <w:numId w:val="33"/>
              </w:numPr>
              <w:overflowPunct/>
              <w:autoSpaceDE/>
              <w:autoSpaceDN/>
              <w:adjustRightInd/>
              <w:spacing w:line="276" w:lineRule="auto"/>
              <w:ind w:left="173"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Dosare în instanță – căutare nelimitată în baza de date și serviciu de urmărire prin sistem de norificări pe e-mail, atunci când urmează o nouă ședință sau când apare o decizie în dosar (în limita a 5 dosare).</w:t>
            </w: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3-abonanent Serviciu urmărire dosare în instanţă</w:t>
            </w:r>
            <w:r w:rsidRPr="009A4DDC">
              <w:rPr>
                <w:rFonts w:ascii="Times New Roman" w:eastAsia="Times New Roman" w:hAnsi="Times New Roman"/>
                <w:sz w:val="24"/>
                <w:szCs w:val="24"/>
                <w:lang w:val="ro-RO"/>
              </w:rPr>
              <w:t xml:space="preserve"> – </w:t>
            </w:r>
            <w:r w:rsidRPr="009A4DDC">
              <w:rPr>
                <w:rFonts w:ascii="Times New Roman" w:eastAsia="Times New Roman" w:hAnsi="Times New Roman"/>
                <w:b/>
                <w:sz w:val="24"/>
                <w:szCs w:val="24"/>
                <w:lang w:val="ro-RO"/>
              </w:rPr>
              <w:t>150-200 dosare</w:t>
            </w:r>
            <w:r w:rsidRPr="009A4DDC">
              <w:rPr>
                <w:rFonts w:ascii="Times New Roman" w:eastAsia="Times New Roman" w:hAnsi="Times New Roman"/>
                <w:sz w:val="24"/>
                <w:szCs w:val="24"/>
                <w:lang w:val="ro-RO"/>
              </w:rPr>
              <w:t xml:space="preserve"> – 1buc/lună.</w:t>
            </w: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p>
          <w:p w:rsidR="009A4DDC" w:rsidRPr="009A4DDC" w:rsidRDefault="009A4DDC" w:rsidP="009A4DDC">
            <w:pPr>
              <w:widowControl w:val="0"/>
              <w:overflowPunct/>
              <w:spacing w:line="276" w:lineRule="auto"/>
              <w:ind w:left="176" w:hanging="176"/>
              <w:jc w:val="both"/>
              <w:textAlignment w:val="auto"/>
              <w:rPr>
                <w:rFonts w:ascii="Times New Roman" w:eastAsia="Times New Roman" w:hAnsi="Times New Roman"/>
                <w:b/>
                <w:sz w:val="24"/>
                <w:szCs w:val="24"/>
                <w:lang w:val="ro-RO"/>
              </w:rPr>
            </w:pPr>
            <w:r w:rsidRPr="009A4DDC">
              <w:rPr>
                <w:rFonts w:ascii="Times New Roman" w:eastAsia="Times New Roman" w:hAnsi="Times New Roman"/>
                <w:b/>
                <w:sz w:val="24"/>
                <w:szCs w:val="24"/>
                <w:lang w:val="ro-RO"/>
              </w:rPr>
              <w:t>Facilități:</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Căutare rapidă cu obținerea de rezultate relevante din întreaga bază de date;</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Istoric legislativ – toate versiunile consolidate; versiune consolidată pentru orice dată calendaristică;</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La nivel de act normativ: formă consolidată la orice dată calendaristică începând cu data publicării; navigare rapidă în document; descărcare și tipărire document; fișa actului; relații cu alte acte semnalate la nivel de paragraf; norme de aplicare;</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Prezentare la nivel de paragraf; COMPARARE TEXT și</w:t>
            </w:r>
            <w:r w:rsidR="00636F59">
              <w:rPr>
                <w:rFonts w:ascii="Times New Roman" w:eastAsia="Times New Roman" w:hAnsi="Times New Roman"/>
                <w:sz w:val="24"/>
                <w:szCs w:val="24"/>
                <w:lang w:val="ro-RO"/>
              </w:rPr>
              <w:t xml:space="preserve"> </w:t>
            </w:r>
            <w:r w:rsidRPr="009A4DDC">
              <w:rPr>
                <w:rFonts w:ascii="Times New Roman" w:eastAsia="Times New Roman" w:hAnsi="Times New Roman"/>
                <w:sz w:val="24"/>
                <w:szCs w:val="24"/>
                <w:lang w:val="ro-RO"/>
              </w:rPr>
              <w:t xml:space="preserve"> EVIDENȚIEREA MODIFICĂRILOR;</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COMPARARE CONSOLIDĂRI – comparare text în paralel și evidențierea modificărilor – pentru două versiuni ale oricărui act din baza de date (ex. Noul Cod Penal versus Vechiul Cod Penal);</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Sistem de notificări noutăți legislative pe domeniile de interes și/sau asupra modificărilor pe documentele setate ca și favorite.</w:t>
            </w:r>
          </w:p>
          <w:p w:rsidR="00BB09AA" w:rsidRDefault="009A4DDC" w:rsidP="00636F59">
            <w:pPr>
              <w:pStyle w:val="Heading2"/>
              <w:numPr>
                <w:ilvl w:val="0"/>
                <w:numId w:val="0"/>
              </w:numPr>
              <w:spacing w:line="276" w:lineRule="auto"/>
              <w:jc w:val="center"/>
              <w:rPr>
                <w:rFonts w:ascii="Times New Roman" w:hAnsi="Times New Roman"/>
                <w:b w:val="0"/>
                <w:noProof w:val="0"/>
                <w:sz w:val="24"/>
                <w:szCs w:val="24"/>
              </w:rPr>
            </w:pPr>
            <w:r w:rsidRPr="009A4DDC">
              <w:rPr>
                <w:rFonts w:ascii="Times New Roman" w:hAnsi="Times New Roman"/>
                <w:b w:val="0"/>
                <w:noProof w:val="0"/>
                <w:sz w:val="24"/>
                <w:szCs w:val="24"/>
              </w:rPr>
              <w:t>Funcții de editare, tipărire, descărcare în format pdf</w:t>
            </w:r>
            <w:r>
              <w:rPr>
                <w:rFonts w:ascii="Times New Roman" w:hAnsi="Times New Roman"/>
                <w:b w:val="0"/>
                <w:noProof w:val="0"/>
                <w:sz w:val="24"/>
                <w:szCs w:val="24"/>
              </w:rPr>
              <w:t>.</w:t>
            </w:r>
          </w:p>
          <w:p w:rsidR="00FF4E5C" w:rsidRDefault="00FF4E5C" w:rsidP="00FF4E5C">
            <w:pPr>
              <w:widowControl w:val="0"/>
              <w:jc w:val="both"/>
              <w:rPr>
                <w:rFonts w:ascii="Times New Roman" w:hAnsi="Times New Roman"/>
                <w:b/>
                <w:sz w:val="24"/>
                <w:szCs w:val="24"/>
                <w:lang w:val="ro-RO"/>
              </w:rPr>
            </w:pPr>
          </w:p>
          <w:p w:rsidR="00FF4E5C" w:rsidRDefault="00FF4E5C" w:rsidP="00FF4E5C">
            <w:pPr>
              <w:widowControl w:val="0"/>
              <w:jc w:val="both"/>
              <w:rPr>
                <w:rFonts w:ascii="Times New Roman" w:hAnsi="Times New Roman"/>
                <w:b/>
                <w:sz w:val="24"/>
                <w:szCs w:val="24"/>
                <w:lang w:val="ro-RO"/>
              </w:rPr>
            </w:pPr>
          </w:p>
          <w:p w:rsidR="00FF4E5C" w:rsidRPr="00C93439" w:rsidRDefault="00FF4E5C" w:rsidP="00FF4E5C">
            <w:pPr>
              <w:widowControl w:val="0"/>
              <w:jc w:val="both"/>
              <w:rPr>
                <w:rFonts w:ascii="Times New Roman" w:hAnsi="Times New Roman"/>
                <w:b/>
                <w:sz w:val="24"/>
                <w:szCs w:val="24"/>
                <w:lang w:val="en-GB" w:eastAsia="en-GB"/>
              </w:rPr>
            </w:pPr>
            <w:r>
              <w:rPr>
                <w:rFonts w:ascii="Times New Roman" w:hAnsi="Times New Roman"/>
                <w:b/>
                <w:sz w:val="24"/>
                <w:szCs w:val="24"/>
                <w:lang w:val="ro-RO"/>
              </w:rPr>
              <w:t>4. A</w:t>
            </w:r>
            <w:r w:rsidRPr="00C93439">
              <w:rPr>
                <w:rFonts w:ascii="Times New Roman" w:hAnsi="Times New Roman"/>
                <w:b/>
                <w:sz w:val="24"/>
                <w:szCs w:val="24"/>
                <w:lang w:val="ro-RO"/>
              </w:rPr>
              <w:t xml:space="preserve">bonanent Serviciu </w:t>
            </w:r>
            <w:r w:rsidRPr="00C93439">
              <w:rPr>
                <w:rFonts w:ascii="Times New Roman" w:hAnsi="Times New Roman"/>
                <w:b/>
                <w:bCs/>
                <w:sz w:val="24"/>
                <w:szCs w:val="24"/>
                <w:lang w:val="en-GB" w:eastAsia="en-GB"/>
              </w:rPr>
              <w:t>Hotarari Judecatoresti</w:t>
            </w:r>
            <w:r w:rsidRPr="00C93439">
              <w:rPr>
                <w:rFonts w:ascii="Times New Roman" w:hAnsi="Times New Roman"/>
                <w:sz w:val="24"/>
                <w:szCs w:val="24"/>
                <w:lang w:val="ro-RO"/>
              </w:rPr>
              <w:t>– 1buc/lună.</w:t>
            </w:r>
            <w:r w:rsidRPr="00C93439">
              <w:rPr>
                <w:rFonts w:ascii="Times New Roman" w:hAnsi="Times New Roman"/>
                <w:b/>
                <w:sz w:val="24"/>
                <w:szCs w:val="24"/>
                <w:lang w:val="en-GB" w:eastAsia="en-GB"/>
              </w:rPr>
              <w:t> </w:t>
            </w:r>
          </w:p>
          <w:p w:rsidR="00FF4E5C" w:rsidRPr="00C93439" w:rsidRDefault="00FF4E5C" w:rsidP="00FF4E5C">
            <w:pPr>
              <w:widowControl w:val="0"/>
              <w:ind w:left="176"/>
              <w:jc w:val="both"/>
              <w:rPr>
                <w:rFonts w:ascii="Times New Roman" w:hAnsi="Times New Roman"/>
                <w:b/>
                <w:sz w:val="24"/>
                <w:szCs w:val="24"/>
                <w:lang w:val="ro-RO"/>
              </w:rPr>
            </w:pPr>
          </w:p>
          <w:p w:rsidR="00FF4E5C" w:rsidRPr="00C93439" w:rsidRDefault="00FF4E5C" w:rsidP="00FF4E5C">
            <w:pPr>
              <w:widowControl w:val="0"/>
              <w:ind w:left="176" w:hanging="176"/>
              <w:jc w:val="both"/>
              <w:rPr>
                <w:rFonts w:ascii="Times New Roman" w:hAnsi="Times New Roman"/>
                <w:b/>
                <w:sz w:val="24"/>
                <w:szCs w:val="24"/>
                <w:lang w:val="ro-RO"/>
              </w:rPr>
            </w:pPr>
            <w:r w:rsidRPr="00C93439">
              <w:rPr>
                <w:rFonts w:ascii="Times New Roman" w:hAnsi="Times New Roman"/>
                <w:b/>
                <w:sz w:val="24"/>
                <w:szCs w:val="24"/>
                <w:lang w:val="ro-RO"/>
              </w:rPr>
              <w:t>Facilități:</w:t>
            </w:r>
          </w:p>
          <w:p w:rsidR="00FF4E5C" w:rsidRPr="00C93439" w:rsidRDefault="00FF4E5C" w:rsidP="00FF4E5C">
            <w:pPr>
              <w:pStyle w:val="ListParagraph"/>
              <w:numPr>
                <w:ilvl w:val="0"/>
                <w:numId w:val="32"/>
              </w:numPr>
              <w:shd w:val="clear" w:color="auto" w:fill="FFFFFF"/>
              <w:spacing w:after="240" w:line="276" w:lineRule="auto"/>
              <w:ind w:left="200" w:hanging="142"/>
              <w:jc w:val="both"/>
              <w:rPr>
                <w:lang w:val="en-GB" w:eastAsia="en-GB"/>
              </w:rPr>
            </w:pPr>
            <w:r w:rsidRPr="00C93439">
              <w:rPr>
                <w:lang w:val="en-GB" w:eastAsia="en-GB"/>
              </w:rPr>
              <w:t>Modulul </w:t>
            </w:r>
            <w:r w:rsidRPr="00C93439">
              <w:rPr>
                <w:b/>
                <w:bCs/>
                <w:lang w:val="en-GB" w:eastAsia="en-GB"/>
              </w:rPr>
              <w:t>Hotarari Judecatoresti</w:t>
            </w:r>
            <w:r w:rsidRPr="00C93439">
              <w:rPr>
                <w:lang w:val="en-GB" w:eastAsia="en-GB"/>
              </w:rPr>
              <w:t>  va oferi acces la peste 12000000 de hotarari emise de toate instanțele din România. Baza ROLII şi toate hotararile de la ICCJ trebuie sa fie corelate cu dosarele din instanță.</w:t>
            </w:r>
          </w:p>
          <w:p w:rsidR="00FF4E5C" w:rsidRPr="00C93439" w:rsidRDefault="00FF4E5C" w:rsidP="00FF4E5C">
            <w:pPr>
              <w:pStyle w:val="ListParagraph"/>
              <w:numPr>
                <w:ilvl w:val="0"/>
                <w:numId w:val="32"/>
              </w:numPr>
              <w:shd w:val="clear" w:color="auto" w:fill="FFFFFF"/>
              <w:spacing w:after="240" w:line="276" w:lineRule="auto"/>
              <w:ind w:left="200" w:hanging="142"/>
              <w:jc w:val="both"/>
              <w:rPr>
                <w:lang w:val="en-GB" w:eastAsia="en-GB"/>
              </w:rPr>
            </w:pPr>
            <w:r w:rsidRPr="00C93439">
              <w:rPr>
                <w:lang w:val="en-GB" w:eastAsia="en-GB"/>
              </w:rPr>
              <w:t>Modulul Hotarari Judecatoresti trebuie sa ofere statistici (</w:t>
            </w:r>
            <w:r w:rsidRPr="00C93439">
              <w:rPr>
                <w:i/>
                <w:iCs/>
                <w:lang w:val="en-GB" w:eastAsia="en-GB"/>
              </w:rPr>
              <w:t>numarul de hotarari si procentul acestora in raport cu toate hotararirile din acea sectiune</w:t>
            </w:r>
            <w:r w:rsidRPr="00C93439">
              <w:rPr>
                <w:lang w:val="en-GB" w:eastAsia="en-GB"/>
              </w:rPr>
              <w:t xml:space="preserve">) afișate în timp real pe toată baza de date, în funcție de filtrele aplicate: tip instanță, instanță, stadiu </w:t>
            </w:r>
            <w:r w:rsidRPr="00C93439">
              <w:rPr>
                <w:lang w:val="en-GB" w:eastAsia="en-GB"/>
              </w:rPr>
              <w:lastRenderedPageBreak/>
              <w:t>procesual, materie, obiect dosar, tip soluție, an, complet.</w:t>
            </w:r>
          </w:p>
          <w:p w:rsidR="00FF4E5C" w:rsidRPr="00FF4E5C" w:rsidRDefault="00FF4E5C" w:rsidP="00FF4E5C">
            <w:pPr>
              <w:rPr>
                <w:lang w:val="ro-RO"/>
              </w:rPr>
            </w:pPr>
          </w:p>
        </w:tc>
        <w:tc>
          <w:tcPr>
            <w:tcW w:w="4078"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E6FC1" w:rsidRPr="00667A69" w:rsidRDefault="00BB09AA" w:rsidP="00DF0F19">
      <w:pPr>
        <w:rPr>
          <w:rFonts w:ascii="Times New Roman" w:hAnsi="Times New Roman"/>
          <w:i/>
          <w:noProof/>
          <w:sz w:val="18"/>
          <w:szCs w:val="18"/>
        </w:rPr>
      </w:pPr>
      <w:r w:rsidRPr="0018656E">
        <w:rPr>
          <w:rFonts w:ascii="Arial Narrow" w:hAnsi="Arial Narrow"/>
          <w:b/>
        </w:rPr>
        <w:br w:type="page"/>
      </w:r>
      <w:r w:rsidR="00DF0F19">
        <w:rPr>
          <w:rFonts w:ascii="Arial Narrow" w:hAnsi="Arial Narrow"/>
          <w:b/>
        </w:rPr>
        <w:lastRenderedPageBreak/>
        <w:t xml:space="preserve">                                                                                                                                                                                 </w:t>
      </w:r>
      <w:r w:rsidR="00E5056B" w:rsidRPr="00667A69">
        <w:rPr>
          <w:rStyle w:val="PageNumber"/>
          <w:rFonts w:ascii="Times New Roman" w:hAnsi="Times New Roman"/>
          <w:b/>
          <w:i/>
          <w:sz w:val="18"/>
          <w:szCs w:val="18"/>
        </w:rPr>
        <w:t xml:space="preserve">FORMULARUL </w:t>
      </w:r>
      <w:r w:rsidR="00AE6FC1" w:rsidRPr="00667A69">
        <w:rPr>
          <w:rStyle w:val="PageNumber"/>
          <w:rFonts w:ascii="Times New Roman" w:hAnsi="Times New Roman"/>
          <w:b/>
          <w:i/>
          <w:sz w:val="18"/>
          <w:szCs w:val="18"/>
        </w:rPr>
        <w:t>nr.</w:t>
      </w:r>
      <w:r w:rsidR="009A4DDC">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9A4DDC">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4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78"/>
        <w:gridCol w:w="630"/>
        <w:gridCol w:w="1170"/>
        <w:gridCol w:w="1170"/>
        <w:gridCol w:w="1260"/>
        <w:gridCol w:w="1080"/>
        <w:gridCol w:w="1134"/>
      </w:tblGrid>
      <w:tr w:rsidR="004569DF" w:rsidRPr="004525E6" w:rsidTr="004569DF">
        <w:tc>
          <w:tcPr>
            <w:tcW w:w="682" w:type="dxa"/>
            <w:vAlign w:val="center"/>
          </w:tcPr>
          <w:p w:rsidR="004569DF" w:rsidRPr="004525E6" w:rsidRDefault="004569DF"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278"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63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7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70" w:type="dxa"/>
          </w:tcPr>
          <w:p w:rsidR="004569DF" w:rsidRPr="004569DF" w:rsidRDefault="004569DF" w:rsidP="004569DF">
            <w:pPr>
              <w:jc w:val="center"/>
              <w:rPr>
                <w:rFonts w:ascii="Times New Roman" w:hAnsi="Times New Roman"/>
                <w:b/>
                <w:i/>
                <w:iCs/>
                <w:sz w:val="22"/>
                <w:szCs w:val="22"/>
              </w:rPr>
            </w:pPr>
            <w:r w:rsidRPr="004569DF">
              <w:rPr>
                <w:rFonts w:ascii="Times New Roman" w:hAnsi="Times New Roman"/>
                <w:b/>
                <w:i/>
                <w:iCs/>
                <w:sz w:val="22"/>
                <w:szCs w:val="22"/>
              </w:rPr>
              <w:t xml:space="preserve">Pret total </w:t>
            </w:r>
            <w:r>
              <w:rPr>
                <w:rFonts w:ascii="Times New Roman" w:hAnsi="Times New Roman"/>
                <w:b/>
                <w:i/>
                <w:iCs/>
                <w:sz w:val="22"/>
                <w:szCs w:val="22"/>
              </w:rPr>
              <w:t xml:space="preserve">estimat </w:t>
            </w:r>
            <w:r w:rsidRPr="004569DF">
              <w:rPr>
                <w:rFonts w:ascii="Times New Roman" w:hAnsi="Times New Roman"/>
                <w:b/>
                <w:i/>
                <w:iCs/>
                <w:sz w:val="22"/>
                <w:szCs w:val="22"/>
              </w:rPr>
              <w:t xml:space="preserve">RON </w:t>
            </w:r>
          </w:p>
          <w:p w:rsidR="004569DF" w:rsidRPr="004525E6" w:rsidRDefault="004569DF" w:rsidP="004569DF">
            <w:pPr>
              <w:jc w:val="center"/>
              <w:rPr>
                <w:rFonts w:ascii="Times New Roman" w:hAnsi="Times New Roman"/>
                <w:b/>
                <w:i/>
                <w:iCs/>
                <w:sz w:val="22"/>
                <w:szCs w:val="22"/>
              </w:rPr>
            </w:pPr>
            <w:r w:rsidRPr="004569DF">
              <w:rPr>
                <w:rFonts w:ascii="Times New Roman" w:hAnsi="Times New Roman"/>
                <w:b/>
                <w:i/>
                <w:iCs/>
                <w:sz w:val="22"/>
                <w:szCs w:val="22"/>
              </w:rPr>
              <w:t>fara TVA</w:t>
            </w:r>
          </w:p>
        </w:tc>
        <w:tc>
          <w:tcPr>
            <w:tcW w:w="126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08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4569DF" w:rsidRPr="004525E6" w:rsidTr="004569DF">
        <w:tc>
          <w:tcPr>
            <w:tcW w:w="682"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278"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63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4569DF" w:rsidRPr="004525E6" w:rsidRDefault="004569DF" w:rsidP="00225E32">
            <w:pPr>
              <w:jc w:val="center"/>
              <w:rPr>
                <w:rFonts w:ascii="Times New Roman" w:hAnsi="Times New Roman"/>
                <w:b/>
                <w:i/>
                <w:iCs/>
                <w:sz w:val="22"/>
                <w:szCs w:val="22"/>
              </w:rPr>
            </w:pPr>
          </w:p>
        </w:tc>
        <w:tc>
          <w:tcPr>
            <w:tcW w:w="126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4569DF" w:rsidRPr="004525E6" w:rsidTr="004569DF">
        <w:trPr>
          <w:trHeight w:val="1026"/>
        </w:trPr>
        <w:tc>
          <w:tcPr>
            <w:tcW w:w="682" w:type="dxa"/>
          </w:tcPr>
          <w:p w:rsidR="004569DF" w:rsidRPr="00CB49E3" w:rsidRDefault="004569DF"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278" w:type="dxa"/>
            <w:vAlign w:val="center"/>
          </w:tcPr>
          <w:p w:rsidR="004569DF" w:rsidRPr="001A5364" w:rsidRDefault="004569DF" w:rsidP="007D4BD6">
            <w:pPr>
              <w:tabs>
                <w:tab w:val="left" w:pos="8931"/>
              </w:tabs>
              <w:rPr>
                <w:rFonts w:ascii="Times New Roman" w:hAnsi="Times New Roman"/>
                <w:sz w:val="22"/>
                <w:szCs w:val="22"/>
              </w:rPr>
            </w:pPr>
            <w:r w:rsidRPr="001A5364">
              <w:rPr>
                <w:rFonts w:ascii="Times New Roman" w:hAnsi="Times New Roman"/>
                <w:b/>
                <w:sz w:val="22"/>
                <w:szCs w:val="22"/>
                <w:lang w:val="fr-FR"/>
              </w:rPr>
              <w:t>Servicii de</w:t>
            </w:r>
            <w:r w:rsidRPr="001A5364">
              <w:rPr>
                <w:rFonts w:ascii="Times New Roman" w:hAnsi="Times New Roman"/>
                <w:sz w:val="22"/>
                <w:szCs w:val="22"/>
                <w:lang w:val="fr-FR"/>
              </w:rPr>
              <w:t xml:space="preserve"> </w:t>
            </w:r>
            <w:r w:rsidRPr="001A5364">
              <w:rPr>
                <w:rFonts w:ascii="Times New Roman" w:hAnsi="Times New Roman"/>
                <w:b/>
                <w:sz w:val="22"/>
                <w:szCs w:val="22"/>
                <w:lang w:val="es-ES"/>
              </w:rPr>
              <w:t xml:space="preserve">actualizare abonament lunar la programele </w:t>
            </w:r>
            <w:r w:rsidRPr="001A5364">
              <w:rPr>
                <w:rFonts w:ascii="Times New Roman" w:hAnsi="Times New Roman"/>
                <w:b/>
                <w:sz w:val="22"/>
                <w:szCs w:val="22"/>
              </w:rPr>
              <w:t>de informare  legislativă: Lege 5 Online LEADER, Lege 5 Online BASIC, Serviciu urmărire dosare</w:t>
            </w:r>
            <w:r w:rsidRPr="001A5364">
              <w:rPr>
                <w:rFonts w:ascii="Times New Roman" w:hAnsi="Times New Roman"/>
                <w:b/>
                <w:sz w:val="22"/>
                <w:szCs w:val="22"/>
                <w:lang w:val="ro-RO"/>
              </w:rPr>
              <w:t xml:space="preserve"> în instanță</w:t>
            </w:r>
          </w:p>
        </w:tc>
        <w:tc>
          <w:tcPr>
            <w:tcW w:w="630" w:type="dxa"/>
            <w:vAlign w:val="center"/>
          </w:tcPr>
          <w:p w:rsidR="004569DF" w:rsidRPr="001A5364" w:rsidRDefault="004569DF" w:rsidP="00225E32">
            <w:pPr>
              <w:spacing w:line="240" w:lineRule="exact"/>
              <w:jc w:val="center"/>
              <w:rPr>
                <w:rFonts w:ascii="Times New Roman" w:hAnsi="Times New Roman"/>
                <w:sz w:val="22"/>
                <w:szCs w:val="22"/>
              </w:rPr>
            </w:pPr>
          </w:p>
        </w:tc>
        <w:tc>
          <w:tcPr>
            <w:tcW w:w="1170" w:type="dxa"/>
            <w:vAlign w:val="center"/>
          </w:tcPr>
          <w:p w:rsidR="004569DF" w:rsidRPr="001A5364" w:rsidRDefault="004569DF" w:rsidP="00061806">
            <w:pPr>
              <w:spacing w:line="240" w:lineRule="exact"/>
              <w:jc w:val="center"/>
              <w:rPr>
                <w:rFonts w:ascii="Times New Roman" w:hAnsi="Times New Roman"/>
                <w:i/>
                <w:sz w:val="22"/>
                <w:szCs w:val="22"/>
              </w:rPr>
            </w:pPr>
          </w:p>
        </w:tc>
        <w:tc>
          <w:tcPr>
            <w:tcW w:w="1170" w:type="dxa"/>
          </w:tcPr>
          <w:p w:rsidR="004569DF" w:rsidRPr="004525E6" w:rsidRDefault="004569DF" w:rsidP="00225E32">
            <w:pPr>
              <w:jc w:val="right"/>
              <w:rPr>
                <w:rFonts w:ascii="Times New Roman" w:hAnsi="Times New Roman"/>
                <w:i/>
                <w:sz w:val="22"/>
                <w:szCs w:val="22"/>
              </w:rPr>
            </w:pPr>
          </w:p>
        </w:tc>
        <w:tc>
          <w:tcPr>
            <w:tcW w:w="1260" w:type="dxa"/>
            <w:vAlign w:val="bottom"/>
          </w:tcPr>
          <w:p w:rsidR="004569DF" w:rsidRPr="004525E6" w:rsidRDefault="004569DF" w:rsidP="00225E32">
            <w:pPr>
              <w:jc w:val="right"/>
              <w:rPr>
                <w:rFonts w:ascii="Times New Roman" w:hAnsi="Times New Roman"/>
                <w:i/>
                <w:sz w:val="22"/>
                <w:szCs w:val="22"/>
              </w:rPr>
            </w:pPr>
          </w:p>
        </w:tc>
        <w:tc>
          <w:tcPr>
            <w:tcW w:w="1080" w:type="dxa"/>
          </w:tcPr>
          <w:p w:rsidR="004569DF" w:rsidRPr="004525E6" w:rsidRDefault="004569DF" w:rsidP="00225E32">
            <w:pPr>
              <w:rPr>
                <w:rFonts w:ascii="Times New Roman" w:hAnsi="Times New Roman"/>
                <w:b/>
                <w:i/>
                <w:iCs/>
                <w:sz w:val="22"/>
                <w:szCs w:val="22"/>
              </w:rPr>
            </w:pPr>
          </w:p>
        </w:tc>
        <w:tc>
          <w:tcPr>
            <w:tcW w:w="1134" w:type="dxa"/>
          </w:tcPr>
          <w:p w:rsidR="004569DF" w:rsidRPr="004525E6" w:rsidRDefault="004569DF" w:rsidP="00225E32">
            <w:pP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1.1</w:t>
            </w:r>
          </w:p>
        </w:tc>
        <w:tc>
          <w:tcPr>
            <w:tcW w:w="3278" w:type="dxa"/>
            <w:vAlign w:val="center"/>
          </w:tcPr>
          <w:p w:rsidR="004569DF" w:rsidRPr="001A5364" w:rsidRDefault="004569DF"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BASIC –2 buc</w:t>
            </w:r>
            <w:r>
              <w:rPr>
                <w:rFonts w:ascii="Times New Roman" w:hAnsi="Times New Roman"/>
                <w:sz w:val="22"/>
                <w:szCs w:val="22"/>
                <w:lang w:val="ro-RO"/>
              </w:rPr>
              <w:t>/luna</w:t>
            </w:r>
          </w:p>
        </w:tc>
        <w:tc>
          <w:tcPr>
            <w:tcW w:w="630" w:type="dxa"/>
            <w:vAlign w:val="center"/>
          </w:tcPr>
          <w:p w:rsidR="004569DF" w:rsidRPr="001A5364" w:rsidRDefault="004569DF" w:rsidP="001A5364">
            <w:pPr>
              <w:spacing w:line="240" w:lineRule="exact"/>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24</w:t>
            </w:r>
          </w:p>
        </w:tc>
        <w:tc>
          <w:tcPr>
            <w:tcW w:w="1170" w:type="dxa"/>
            <w:vAlign w:val="center"/>
          </w:tcPr>
          <w:p w:rsidR="004569DF" w:rsidRPr="004525E6" w:rsidRDefault="004569DF" w:rsidP="00FF4E5C">
            <w:pPr>
              <w:jc w:val="center"/>
              <w:rPr>
                <w:rFonts w:ascii="Times New Roman" w:hAnsi="Times New Roman"/>
                <w:i/>
                <w:sz w:val="22"/>
                <w:szCs w:val="22"/>
              </w:rPr>
            </w:pPr>
            <w:r>
              <w:rPr>
                <w:rFonts w:ascii="Times New Roman" w:hAnsi="Times New Roman"/>
                <w:i/>
                <w:sz w:val="22"/>
                <w:szCs w:val="22"/>
              </w:rPr>
              <w:t>913.92</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1.2</w:t>
            </w:r>
          </w:p>
        </w:tc>
        <w:tc>
          <w:tcPr>
            <w:tcW w:w="3278" w:type="dxa"/>
            <w:vAlign w:val="center"/>
          </w:tcPr>
          <w:p w:rsidR="004569DF" w:rsidRPr="001A5364" w:rsidRDefault="004569DF"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LEADER –3 buc</w:t>
            </w:r>
            <w:r>
              <w:rPr>
                <w:rFonts w:ascii="Times New Roman" w:hAnsi="Times New Roman"/>
                <w:sz w:val="22"/>
                <w:szCs w:val="22"/>
                <w:lang w:val="ro-RO"/>
              </w:rPr>
              <w:t>/luna</w:t>
            </w:r>
          </w:p>
        </w:tc>
        <w:tc>
          <w:tcPr>
            <w:tcW w:w="630" w:type="dxa"/>
            <w:vAlign w:val="center"/>
          </w:tcPr>
          <w:p w:rsidR="004569DF" w:rsidRPr="001A5364" w:rsidRDefault="004569DF" w:rsidP="001A5364">
            <w:pPr>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36</w:t>
            </w:r>
          </w:p>
        </w:tc>
        <w:tc>
          <w:tcPr>
            <w:tcW w:w="1170" w:type="dxa"/>
            <w:vAlign w:val="center"/>
          </w:tcPr>
          <w:p w:rsidR="004569DF" w:rsidRPr="004525E6" w:rsidRDefault="004569DF" w:rsidP="00FF4E5C">
            <w:pPr>
              <w:jc w:val="center"/>
              <w:rPr>
                <w:rFonts w:ascii="Times New Roman" w:hAnsi="Times New Roman"/>
                <w:i/>
                <w:sz w:val="22"/>
                <w:szCs w:val="22"/>
              </w:rPr>
            </w:pPr>
            <w:r>
              <w:rPr>
                <w:rFonts w:ascii="Times New Roman" w:hAnsi="Times New Roman"/>
                <w:i/>
                <w:sz w:val="22"/>
                <w:szCs w:val="22"/>
              </w:rPr>
              <w:t>2903.04</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1.3</w:t>
            </w:r>
          </w:p>
        </w:tc>
        <w:tc>
          <w:tcPr>
            <w:tcW w:w="3278" w:type="dxa"/>
            <w:vAlign w:val="center"/>
          </w:tcPr>
          <w:p w:rsidR="004569DF" w:rsidRPr="001A5364" w:rsidRDefault="004569DF" w:rsidP="001A5364">
            <w:pPr>
              <w:spacing w:line="360" w:lineRule="auto"/>
              <w:rPr>
                <w:rFonts w:ascii="Times New Roman" w:hAnsi="Times New Roman"/>
                <w:sz w:val="22"/>
                <w:szCs w:val="22"/>
              </w:rPr>
            </w:pPr>
            <w:r w:rsidRPr="001A5364">
              <w:rPr>
                <w:rFonts w:ascii="Times New Roman" w:hAnsi="Times New Roman"/>
                <w:sz w:val="22"/>
                <w:szCs w:val="22"/>
                <w:lang w:val="pt-BR"/>
              </w:rPr>
              <w:t xml:space="preserve">abonanent </w:t>
            </w:r>
            <w:r w:rsidRPr="001A5364">
              <w:rPr>
                <w:rFonts w:ascii="Times New Roman" w:hAnsi="Times New Roman"/>
                <w:color w:val="000000"/>
                <w:sz w:val="22"/>
                <w:szCs w:val="22"/>
              </w:rPr>
              <w:t>servicii urmărire dosare în instanţă (</w:t>
            </w:r>
            <w:r w:rsidRPr="001A5364">
              <w:rPr>
                <w:rFonts w:ascii="Times New Roman" w:hAnsi="Times New Roman"/>
                <w:sz w:val="22"/>
                <w:szCs w:val="22"/>
              </w:rPr>
              <w:t>150-200 dosare)</w:t>
            </w:r>
            <w:r>
              <w:rPr>
                <w:rFonts w:ascii="Times New Roman" w:hAnsi="Times New Roman"/>
                <w:sz w:val="22"/>
                <w:szCs w:val="22"/>
              </w:rPr>
              <w:t xml:space="preserve">    - 1buc</w:t>
            </w:r>
            <w:r w:rsidRPr="004569DF">
              <w:rPr>
                <w:rFonts w:ascii="Times New Roman" w:hAnsi="Times New Roman"/>
                <w:sz w:val="22"/>
                <w:szCs w:val="22"/>
              </w:rPr>
              <w:t>/luna</w:t>
            </w:r>
          </w:p>
        </w:tc>
        <w:tc>
          <w:tcPr>
            <w:tcW w:w="630" w:type="dxa"/>
            <w:vAlign w:val="center"/>
          </w:tcPr>
          <w:p w:rsidR="004569DF" w:rsidRPr="001A5364" w:rsidRDefault="004569DF" w:rsidP="001A5364">
            <w:pPr>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12</w:t>
            </w:r>
          </w:p>
        </w:tc>
        <w:tc>
          <w:tcPr>
            <w:tcW w:w="1170" w:type="dxa"/>
            <w:vAlign w:val="center"/>
          </w:tcPr>
          <w:p w:rsidR="004569DF" w:rsidRPr="004525E6" w:rsidRDefault="004569DF" w:rsidP="00FF4E5C">
            <w:pPr>
              <w:jc w:val="center"/>
              <w:rPr>
                <w:rFonts w:ascii="Times New Roman" w:hAnsi="Times New Roman"/>
                <w:i/>
                <w:sz w:val="22"/>
                <w:szCs w:val="22"/>
              </w:rPr>
            </w:pPr>
            <w:r>
              <w:rPr>
                <w:rFonts w:ascii="Times New Roman" w:hAnsi="Times New Roman"/>
                <w:i/>
                <w:sz w:val="22"/>
                <w:szCs w:val="22"/>
              </w:rPr>
              <w:t>326.64</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FF4E5C" w:rsidRPr="004525E6" w:rsidTr="004569DF">
        <w:trPr>
          <w:trHeight w:val="1026"/>
        </w:trPr>
        <w:tc>
          <w:tcPr>
            <w:tcW w:w="682" w:type="dxa"/>
            <w:vAlign w:val="center"/>
          </w:tcPr>
          <w:p w:rsidR="00FF4E5C" w:rsidRDefault="00FF4E5C" w:rsidP="001A5364">
            <w:pPr>
              <w:jc w:val="center"/>
              <w:rPr>
                <w:rFonts w:ascii="Times New Roman" w:hAnsi="Times New Roman"/>
                <w:b/>
                <w:i/>
                <w:iCs/>
                <w:sz w:val="24"/>
                <w:szCs w:val="24"/>
              </w:rPr>
            </w:pPr>
            <w:r>
              <w:rPr>
                <w:rFonts w:ascii="Times New Roman" w:hAnsi="Times New Roman"/>
                <w:b/>
                <w:i/>
                <w:iCs/>
                <w:sz w:val="24"/>
                <w:szCs w:val="24"/>
              </w:rPr>
              <w:t>1.4</w:t>
            </w:r>
          </w:p>
        </w:tc>
        <w:tc>
          <w:tcPr>
            <w:tcW w:w="3278" w:type="dxa"/>
            <w:vAlign w:val="center"/>
          </w:tcPr>
          <w:p w:rsidR="00FF4E5C" w:rsidRPr="001A5364" w:rsidRDefault="00FF4E5C" w:rsidP="001A5364">
            <w:pPr>
              <w:spacing w:line="360" w:lineRule="auto"/>
              <w:rPr>
                <w:rFonts w:ascii="Times New Roman" w:hAnsi="Times New Roman"/>
                <w:sz w:val="22"/>
                <w:szCs w:val="22"/>
                <w:lang w:val="pt-BR"/>
              </w:rPr>
            </w:pPr>
            <w:r w:rsidRPr="00FF4E5C">
              <w:rPr>
                <w:rFonts w:ascii="Times New Roman" w:hAnsi="Times New Roman"/>
                <w:sz w:val="22"/>
                <w:szCs w:val="22"/>
                <w:lang w:val="pt-BR"/>
              </w:rPr>
              <w:t>Abonanent Serviciu Hotarari Judecatoresti</w:t>
            </w:r>
          </w:p>
        </w:tc>
        <w:tc>
          <w:tcPr>
            <w:tcW w:w="630" w:type="dxa"/>
            <w:vAlign w:val="center"/>
          </w:tcPr>
          <w:p w:rsidR="00FF4E5C" w:rsidRPr="001A5364" w:rsidRDefault="00FF4E5C" w:rsidP="001A5364">
            <w:pPr>
              <w:jc w:val="center"/>
              <w:rPr>
                <w:rFonts w:ascii="Times New Roman" w:hAnsi="Times New Roman"/>
                <w:sz w:val="22"/>
                <w:szCs w:val="22"/>
              </w:rPr>
            </w:pPr>
            <w:r>
              <w:rPr>
                <w:rFonts w:ascii="Times New Roman" w:hAnsi="Times New Roman"/>
                <w:sz w:val="22"/>
                <w:szCs w:val="22"/>
              </w:rPr>
              <w:t>serv</w:t>
            </w:r>
          </w:p>
        </w:tc>
        <w:tc>
          <w:tcPr>
            <w:tcW w:w="1170" w:type="dxa"/>
            <w:vAlign w:val="center"/>
          </w:tcPr>
          <w:p w:rsidR="00FF4E5C" w:rsidRPr="001A5364" w:rsidRDefault="00FF4E5C" w:rsidP="001A5364">
            <w:pPr>
              <w:spacing w:line="240" w:lineRule="exact"/>
              <w:jc w:val="center"/>
              <w:rPr>
                <w:rFonts w:ascii="Times New Roman" w:hAnsi="Times New Roman"/>
                <w:i/>
                <w:sz w:val="22"/>
                <w:szCs w:val="22"/>
              </w:rPr>
            </w:pPr>
            <w:r>
              <w:rPr>
                <w:rFonts w:ascii="Times New Roman" w:hAnsi="Times New Roman"/>
                <w:i/>
                <w:sz w:val="22"/>
                <w:szCs w:val="22"/>
              </w:rPr>
              <w:t>12</w:t>
            </w:r>
          </w:p>
        </w:tc>
        <w:tc>
          <w:tcPr>
            <w:tcW w:w="1170" w:type="dxa"/>
            <w:vAlign w:val="center"/>
          </w:tcPr>
          <w:p w:rsidR="00FF4E5C" w:rsidRDefault="00FF4E5C" w:rsidP="00FF4E5C">
            <w:pPr>
              <w:jc w:val="center"/>
              <w:rPr>
                <w:rFonts w:ascii="Times New Roman" w:hAnsi="Times New Roman"/>
                <w:i/>
                <w:sz w:val="22"/>
                <w:szCs w:val="22"/>
              </w:rPr>
            </w:pPr>
            <w:r w:rsidRPr="00FF4E5C">
              <w:rPr>
                <w:rFonts w:ascii="Times New Roman" w:hAnsi="Times New Roman"/>
                <w:i/>
                <w:sz w:val="22"/>
                <w:szCs w:val="22"/>
              </w:rPr>
              <w:t>420.00</w:t>
            </w:r>
          </w:p>
        </w:tc>
        <w:tc>
          <w:tcPr>
            <w:tcW w:w="1260" w:type="dxa"/>
            <w:vAlign w:val="center"/>
          </w:tcPr>
          <w:p w:rsidR="00FF4E5C" w:rsidRPr="004525E6" w:rsidRDefault="00FF4E5C" w:rsidP="001A5364">
            <w:pPr>
              <w:jc w:val="center"/>
              <w:rPr>
                <w:rFonts w:ascii="Times New Roman" w:hAnsi="Times New Roman"/>
                <w:i/>
                <w:sz w:val="22"/>
                <w:szCs w:val="22"/>
              </w:rPr>
            </w:pPr>
          </w:p>
        </w:tc>
        <w:tc>
          <w:tcPr>
            <w:tcW w:w="1080" w:type="dxa"/>
            <w:vAlign w:val="center"/>
          </w:tcPr>
          <w:p w:rsidR="00FF4E5C" w:rsidRPr="004525E6" w:rsidRDefault="00FF4E5C" w:rsidP="001A5364">
            <w:pPr>
              <w:jc w:val="center"/>
              <w:rPr>
                <w:rFonts w:ascii="Times New Roman" w:hAnsi="Times New Roman"/>
                <w:b/>
                <w:i/>
                <w:iCs/>
                <w:sz w:val="22"/>
                <w:szCs w:val="22"/>
              </w:rPr>
            </w:pPr>
          </w:p>
        </w:tc>
        <w:tc>
          <w:tcPr>
            <w:tcW w:w="1134" w:type="dxa"/>
            <w:vAlign w:val="center"/>
          </w:tcPr>
          <w:p w:rsidR="00FF4E5C" w:rsidRPr="004525E6" w:rsidRDefault="00FF4E5C" w:rsidP="001A5364">
            <w:pPr>
              <w:jc w:val="center"/>
              <w:rPr>
                <w:rFonts w:ascii="Times New Roman" w:hAnsi="Times New Roman"/>
                <w:b/>
                <w:i/>
                <w:iCs/>
                <w:sz w:val="22"/>
                <w:szCs w:val="22"/>
              </w:rPr>
            </w:pPr>
          </w:p>
        </w:tc>
      </w:tr>
      <w:tr w:rsidR="004569DF" w:rsidRPr="004525E6" w:rsidTr="004569DF">
        <w:tc>
          <w:tcPr>
            <w:tcW w:w="682" w:type="dxa"/>
          </w:tcPr>
          <w:p w:rsidR="004569DF" w:rsidRPr="004525E6" w:rsidRDefault="004569DF" w:rsidP="00225E32">
            <w:pPr>
              <w:rPr>
                <w:rFonts w:ascii="Times New Roman" w:hAnsi="Times New Roman"/>
                <w:b/>
                <w:i/>
                <w:iCs/>
                <w:sz w:val="22"/>
                <w:szCs w:val="22"/>
              </w:rPr>
            </w:pPr>
          </w:p>
        </w:tc>
        <w:tc>
          <w:tcPr>
            <w:tcW w:w="3278" w:type="dxa"/>
          </w:tcPr>
          <w:p w:rsidR="004569DF" w:rsidRPr="004525E6" w:rsidRDefault="004569DF"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630" w:type="dxa"/>
          </w:tcPr>
          <w:p w:rsidR="004569DF" w:rsidRPr="00F40357" w:rsidRDefault="004569DF" w:rsidP="00225E32">
            <w:pPr>
              <w:rPr>
                <w:rFonts w:ascii="Times New Roman" w:hAnsi="Times New Roman"/>
                <w:b/>
                <w:i/>
                <w:iCs/>
                <w:sz w:val="24"/>
                <w:szCs w:val="24"/>
              </w:rPr>
            </w:pPr>
          </w:p>
        </w:tc>
        <w:tc>
          <w:tcPr>
            <w:tcW w:w="1170" w:type="dxa"/>
            <w:vAlign w:val="center"/>
          </w:tcPr>
          <w:p w:rsidR="004569DF" w:rsidRPr="00F40357" w:rsidRDefault="004569DF" w:rsidP="00225E32">
            <w:pPr>
              <w:jc w:val="center"/>
              <w:rPr>
                <w:rFonts w:ascii="Times New Roman" w:hAnsi="Times New Roman"/>
                <w:b/>
                <w:i/>
                <w:iCs/>
                <w:sz w:val="24"/>
                <w:szCs w:val="24"/>
              </w:rPr>
            </w:pPr>
          </w:p>
        </w:tc>
        <w:tc>
          <w:tcPr>
            <w:tcW w:w="1170" w:type="dxa"/>
            <w:vAlign w:val="center"/>
          </w:tcPr>
          <w:p w:rsidR="004569DF" w:rsidRPr="004525E6" w:rsidRDefault="00FF4E5C" w:rsidP="00FF4E5C">
            <w:pPr>
              <w:jc w:val="center"/>
              <w:rPr>
                <w:rFonts w:ascii="Times New Roman" w:hAnsi="Times New Roman"/>
                <w:b/>
                <w:i/>
                <w:iCs/>
                <w:sz w:val="22"/>
                <w:szCs w:val="22"/>
              </w:rPr>
            </w:pPr>
            <w:r>
              <w:rPr>
                <w:rFonts w:ascii="Times New Roman" w:hAnsi="Times New Roman"/>
                <w:b/>
                <w:i/>
                <w:iCs/>
                <w:sz w:val="22"/>
                <w:szCs w:val="22"/>
              </w:rPr>
              <w:t>4563</w:t>
            </w:r>
            <w:r w:rsidR="004569DF">
              <w:rPr>
                <w:rFonts w:ascii="Times New Roman" w:hAnsi="Times New Roman"/>
                <w:b/>
                <w:i/>
                <w:iCs/>
                <w:sz w:val="22"/>
                <w:szCs w:val="22"/>
              </w:rPr>
              <w:t>.6</w:t>
            </w:r>
            <w:r>
              <w:rPr>
                <w:rFonts w:ascii="Times New Roman" w:hAnsi="Times New Roman"/>
                <w:b/>
                <w:i/>
                <w:iCs/>
                <w:sz w:val="22"/>
                <w:szCs w:val="22"/>
              </w:rPr>
              <w:t>0</w:t>
            </w:r>
          </w:p>
        </w:tc>
        <w:tc>
          <w:tcPr>
            <w:tcW w:w="1260" w:type="dxa"/>
          </w:tcPr>
          <w:p w:rsidR="004569DF" w:rsidRPr="004525E6" w:rsidRDefault="004569DF" w:rsidP="00225E32">
            <w:pPr>
              <w:rPr>
                <w:rFonts w:ascii="Times New Roman" w:hAnsi="Times New Roman"/>
                <w:b/>
                <w:i/>
                <w:iCs/>
                <w:sz w:val="22"/>
                <w:szCs w:val="22"/>
              </w:rPr>
            </w:pPr>
          </w:p>
        </w:tc>
        <w:tc>
          <w:tcPr>
            <w:tcW w:w="1080" w:type="dxa"/>
          </w:tcPr>
          <w:p w:rsidR="004569DF" w:rsidRPr="004525E6" w:rsidRDefault="004569DF" w:rsidP="00225E32">
            <w:pPr>
              <w:rPr>
                <w:rFonts w:ascii="Times New Roman" w:hAnsi="Times New Roman"/>
                <w:b/>
                <w:i/>
                <w:iCs/>
                <w:sz w:val="22"/>
                <w:szCs w:val="22"/>
              </w:rPr>
            </w:pPr>
          </w:p>
        </w:tc>
        <w:tc>
          <w:tcPr>
            <w:tcW w:w="1134" w:type="dxa"/>
          </w:tcPr>
          <w:p w:rsidR="004569DF" w:rsidRPr="004525E6" w:rsidRDefault="004569DF"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Pr="00667A69" w:rsidRDefault="009A4DDC" w:rsidP="009A4DDC">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4</w:t>
      </w:r>
    </w:p>
    <w:p w:rsidR="009A4DDC" w:rsidRPr="00667A69" w:rsidRDefault="009A4DDC" w:rsidP="009A4DDC">
      <w:pPr>
        <w:jc w:val="both"/>
        <w:rPr>
          <w:rFonts w:ascii="Times New Roman" w:hAnsi="Times New Roman"/>
          <w:i/>
          <w:noProof/>
          <w:sz w:val="18"/>
          <w:szCs w:val="18"/>
        </w:rPr>
      </w:pPr>
    </w:p>
    <w:p w:rsidR="009A4DDC" w:rsidRPr="00E5056B" w:rsidRDefault="009A4DDC" w:rsidP="009A4DDC">
      <w:pPr>
        <w:jc w:val="both"/>
        <w:rPr>
          <w:rFonts w:ascii="Arial Narrow" w:hAnsi="Arial Narrow"/>
          <w:i/>
          <w:noProof/>
        </w:rPr>
      </w:pPr>
      <w:r w:rsidRPr="00E5056B">
        <w:rPr>
          <w:rFonts w:ascii="Arial Narrow" w:hAnsi="Arial Narrow"/>
          <w:i/>
          <w:noProof/>
        </w:rPr>
        <w:t>Operator Economic</w:t>
      </w:r>
    </w:p>
    <w:p w:rsidR="009A4DDC" w:rsidRPr="00E5056B" w:rsidRDefault="009A4DDC" w:rsidP="009A4DDC">
      <w:pPr>
        <w:jc w:val="both"/>
        <w:rPr>
          <w:rFonts w:ascii="Arial Narrow" w:hAnsi="Arial Narrow"/>
          <w:i/>
          <w:noProof/>
        </w:rPr>
      </w:pPr>
      <w:r w:rsidRPr="00E5056B">
        <w:rPr>
          <w:rFonts w:ascii="Arial Narrow" w:hAnsi="Arial Narrow"/>
          <w:i/>
          <w:noProof/>
        </w:rPr>
        <w:t>..........................</w:t>
      </w:r>
    </w:p>
    <w:p w:rsidR="009A4DDC" w:rsidRPr="00E5056B" w:rsidRDefault="009A4DDC" w:rsidP="009A4DDC">
      <w:pPr>
        <w:jc w:val="both"/>
        <w:rPr>
          <w:rFonts w:ascii="Arial Narrow" w:hAnsi="Arial Narrow"/>
          <w:i/>
          <w:noProof/>
        </w:rPr>
      </w:pPr>
      <w:r w:rsidRPr="00E5056B">
        <w:rPr>
          <w:rFonts w:ascii="Arial Narrow" w:hAnsi="Arial Narrow"/>
          <w:i/>
          <w:noProof/>
        </w:rPr>
        <w:t>(denumirea)</w:t>
      </w: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pStyle w:val="Heading2"/>
        <w:numPr>
          <w:ilvl w:val="0"/>
          <w:numId w:val="0"/>
        </w:numPr>
        <w:rPr>
          <w:rFonts w:ascii="Arial Narrow" w:hAnsi="Arial Narrow"/>
          <w:i/>
          <w:iCs/>
          <w:caps/>
          <w:szCs w:val="20"/>
        </w:rPr>
      </w:pPr>
    </w:p>
    <w:p w:rsidR="009A4DDC" w:rsidRPr="00E5056B" w:rsidRDefault="009A4DDC" w:rsidP="009A4DDC">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9A4DDC" w:rsidRPr="00E5056B" w:rsidRDefault="009A4DDC" w:rsidP="009A4DDC">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9A4DDC" w:rsidRPr="00E5056B" w:rsidRDefault="009A4DDC" w:rsidP="009A4DDC">
      <w:pPr>
        <w:pStyle w:val="text"/>
        <w:widowControl/>
        <w:spacing w:before="0" w:line="240" w:lineRule="auto"/>
        <w:rPr>
          <w:rFonts w:ascii="Arial Narrow" w:hAnsi="Arial Narrow"/>
          <w:i/>
          <w:noProof/>
          <w:sz w:val="20"/>
          <w:lang w:val="ro-RO"/>
        </w:rPr>
      </w:pPr>
    </w:p>
    <w:p w:rsidR="009A4DDC" w:rsidRPr="00E5056B" w:rsidRDefault="009A4DDC" w:rsidP="009A4DDC">
      <w:pPr>
        <w:pStyle w:val="text"/>
        <w:widowControl/>
        <w:spacing w:before="0" w:line="240" w:lineRule="auto"/>
        <w:rPr>
          <w:rFonts w:ascii="Arial Narrow" w:hAnsi="Arial Narrow"/>
          <w:i/>
          <w:noProof/>
          <w:sz w:val="20"/>
          <w:lang w:val="ro-RO"/>
        </w:rPr>
      </w:pPr>
    </w:p>
    <w:p w:rsidR="009A4DDC" w:rsidRPr="00E5056B" w:rsidRDefault="009A4DDC" w:rsidP="009A4DDC">
      <w:pPr>
        <w:pStyle w:val="Header"/>
        <w:rPr>
          <w:rFonts w:ascii="Arial Narrow" w:hAnsi="Arial Narrow"/>
          <w:i/>
        </w:rPr>
      </w:pPr>
    </w:p>
    <w:p w:rsidR="009A4DDC" w:rsidRPr="00617CDA" w:rsidRDefault="009A4DDC" w:rsidP="009A4DDC">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A4DDC" w:rsidRPr="00E5056B" w:rsidRDefault="009A4DDC" w:rsidP="009A4DDC">
      <w:pPr>
        <w:spacing w:after="120"/>
        <w:jc w:val="both"/>
        <w:rPr>
          <w:rFonts w:ascii="Arial Narrow" w:hAnsi="Arial Narrow"/>
          <w:i/>
        </w:rPr>
      </w:pPr>
    </w:p>
    <w:p w:rsidR="009A4DDC" w:rsidRPr="00E5056B" w:rsidRDefault="009A4DDC" w:rsidP="009A4DDC">
      <w:pPr>
        <w:spacing w:after="120"/>
        <w:jc w:val="both"/>
        <w:rPr>
          <w:rFonts w:ascii="Arial Narrow" w:hAnsi="Arial Narrow"/>
          <w:i/>
        </w:rPr>
      </w:pPr>
      <w:r w:rsidRPr="00E5056B">
        <w:rPr>
          <w:rFonts w:ascii="Arial Narrow" w:hAnsi="Arial Narrow"/>
          <w:i/>
        </w:rPr>
        <w:t>Semnăturaofertantuluisau a reprezentantuluiofertantului                                   .....................................................</w:t>
      </w:r>
    </w:p>
    <w:p w:rsidR="009A4DDC" w:rsidRPr="00E5056B" w:rsidRDefault="009A4DDC" w:rsidP="009A4DDC">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Default="009A4DDC" w:rsidP="009A4DDC">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9A4DDC" w:rsidRPr="004E14D7" w:rsidRDefault="009A4DDC" w:rsidP="009A4DDC">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9A4DDC" w:rsidRPr="00E5056B" w:rsidRDefault="009A4DDC" w:rsidP="009A4DDC">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5A2F49" w:rsidRDefault="009A4DDC" w:rsidP="009A4DDC">
      <w:pPr>
        <w:outlineLvl w:val="0"/>
        <w:rPr>
          <w:rFonts w:ascii="Arial Narrow" w:hAnsi="Arial Narrow"/>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Pr="00667A69" w:rsidRDefault="009A4DDC" w:rsidP="00C00D6F">
      <w:pPr>
        <w:spacing w:after="120"/>
        <w:jc w:val="both"/>
        <w:rPr>
          <w:rFonts w:ascii="Times New Roman" w:hAnsi="Times New Roman"/>
          <w:i/>
          <w:sz w:val="18"/>
          <w:szCs w:val="18"/>
        </w:rPr>
      </w:pPr>
      <w:bookmarkStart w:id="0" w:name="_GoBack"/>
      <w:bookmarkEnd w:id="0"/>
    </w:p>
    <w:sectPr w:rsidR="009A4DDC" w:rsidRPr="00667A69" w:rsidSect="00636F59">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87" w:rsidRDefault="00763287">
      <w:r>
        <w:separator/>
      </w:r>
    </w:p>
  </w:endnote>
  <w:endnote w:type="continuationSeparator" w:id="0">
    <w:p w:rsidR="00763287" w:rsidRDefault="0076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87" w:rsidRDefault="00763287">
      <w:r>
        <w:separator/>
      </w:r>
    </w:p>
  </w:footnote>
  <w:footnote w:type="continuationSeparator" w:id="0">
    <w:p w:rsidR="00763287" w:rsidRDefault="0076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4F0CF2"/>
    <w:multiLevelType w:val="hybridMultilevel"/>
    <w:tmpl w:val="0FB4B88A"/>
    <w:lvl w:ilvl="0" w:tplc="F384C8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E62533"/>
    <w:multiLevelType w:val="hybridMultilevel"/>
    <w:tmpl w:val="3878CB92"/>
    <w:lvl w:ilvl="0" w:tplc="F384C882">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5D63EF1"/>
    <w:multiLevelType w:val="hybridMultilevel"/>
    <w:tmpl w:val="333878A2"/>
    <w:lvl w:ilvl="0" w:tplc="B762DAD2">
      <w:numFmt w:val="bullet"/>
      <w:lvlText w:val="–"/>
      <w:lvlJc w:val="left"/>
      <w:pPr>
        <w:ind w:left="2970" w:hanging="360"/>
      </w:pPr>
      <w:rPr>
        <w:rFonts w:ascii="Times New Roman" w:eastAsia="Times New Roman" w:hAnsi="Times New Roman" w:cs="Times New Roman" w:hint="default"/>
      </w:rPr>
    </w:lvl>
    <w:lvl w:ilvl="1" w:tplc="04180003">
      <w:start w:val="1"/>
      <w:numFmt w:val="bullet"/>
      <w:lvlText w:val="o"/>
      <w:lvlJc w:val="left"/>
      <w:pPr>
        <w:ind w:left="3690" w:hanging="360"/>
      </w:pPr>
      <w:rPr>
        <w:rFonts w:ascii="Courier New" w:hAnsi="Courier New" w:cs="Courier New" w:hint="default"/>
      </w:rPr>
    </w:lvl>
    <w:lvl w:ilvl="2" w:tplc="04180005">
      <w:start w:val="1"/>
      <w:numFmt w:val="bullet"/>
      <w:lvlText w:val=""/>
      <w:lvlJc w:val="left"/>
      <w:pPr>
        <w:ind w:left="4410" w:hanging="360"/>
      </w:pPr>
      <w:rPr>
        <w:rFonts w:ascii="Wingdings" w:hAnsi="Wingdings" w:hint="default"/>
      </w:rPr>
    </w:lvl>
    <w:lvl w:ilvl="3" w:tplc="04180001">
      <w:start w:val="1"/>
      <w:numFmt w:val="bullet"/>
      <w:lvlText w:val=""/>
      <w:lvlJc w:val="left"/>
      <w:pPr>
        <w:ind w:left="5130" w:hanging="360"/>
      </w:pPr>
      <w:rPr>
        <w:rFonts w:ascii="Symbol" w:hAnsi="Symbol" w:hint="default"/>
      </w:rPr>
    </w:lvl>
    <w:lvl w:ilvl="4" w:tplc="04180003">
      <w:start w:val="1"/>
      <w:numFmt w:val="bullet"/>
      <w:lvlText w:val="o"/>
      <w:lvlJc w:val="left"/>
      <w:pPr>
        <w:ind w:left="5850" w:hanging="360"/>
      </w:pPr>
      <w:rPr>
        <w:rFonts w:ascii="Courier New" w:hAnsi="Courier New" w:cs="Courier New" w:hint="default"/>
      </w:rPr>
    </w:lvl>
    <w:lvl w:ilvl="5" w:tplc="04180005">
      <w:start w:val="1"/>
      <w:numFmt w:val="bullet"/>
      <w:lvlText w:val=""/>
      <w:lvlJc w:val="left"/>
      <w:pPr>
        <w:ind w:left="6570" w:hanging="360"/>
      </w:pPr>
      <w:rPr>
        <w:rFonts w:ascii="Wingdings" w:hAnsi="Wingdings" w:hint="default"/>
      </w:rPr>
    </w:lvl>
    <w:lvl w:ilvl="6" w:tplc="04180001">
      <w:start w:val="1"/>
      <w:numFmt w:val="bullet"/>
      <w:lvlText w:val=""/>
      <w:lvlJc w:val="left"/>
      <w:pPr>
        <w:ind w:left="7290" w:hanging="360"/>
      </w:pPr>
      <w:rPr>
        <w:rFonts w:ascii="Symbol" w:hAnsi="Symbol" w:hint="default"/>
      </w:rPr>
    </w:lvl>
    <w:lvl w:ilvl="7" w:tplc="04180003">
      <w:start w:val="1"/>
      <w:numFmt w:val="bullet"/>
      <w:lvlText w:val="o"/>
      <w:lvlJc w:val="left"/>
      <w:pPr>
        <w:ind w:left="8010" w:hanging="360"/>
      </w:pPr>
      <w:rPr>
        <w:rFonts w:ascii="Courier New" w:hAnsi="Courier New" w:cs="Courier New" w:hint="default"/>
      </w:rPr>
    </w:lvl>
    <w:lvl w:ilvl="8" w:tplc="04180005">
      <w:start w:val="1"/>
      <w:numFmt w:val="bullet"/>
      <w:lvlText w:val=""/>
      <w:lvlJc w:val="left"/>
      <w:pPr>
        <w:ind w:left="873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B51D19"/>
    <w:multiLevelType w:val="hybridMultilevel"/>
    <w:tmpl w:val="C5BC67AA"/>
    <w:lvl w:ilvl="0" w:tplc="F384C88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6E476B"/>
    <w:multiLevelType w:val="hybridMultilevel"/>
    <w:tmpl w:val="208E28C6"/>
    <w:lvl w:ilvl="0" w:tplc="B74206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7"/>
  </w:num>
  <w:num w:numId="8">
    <w:abstractNumId w:val="22"/>
  </w:num>
  <w:num w:numId="9">
    <w:abstractNumId w:val="28"/>
  </w:num>
  <w:num w:numId="10">
    <w:abstractNumId w:val="0"/>
  </w:num>
  <w:num w:numId="11">
    <w:abstractNumId w:val="0"/>
  </w:num>
  <w:num w:numId="12">
    <w:abstractNumId w:val="27"/>
  </w:num>
  <w:num w:numId="13">
    <w:abstractNumId w:val="29"/>
  </w:num>
  <w:num w:numId="14">
    <w:abstractNumId w:val="14"/>
  </w:num>
  <w:num w:numId="15">
    <w:abstractNumId w:val="3"/>
  </w:num>
  <w:num w:numId="16">
    <w:abstractNumId w:val="4"/>
  </w:num>
  <w:num w:numId="17">
    <w:abstractNumId w:val="31"/>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3"/>
  </w:num>
  <w:num w:numId="25">
    <w:abstractNumId w:val="8"/>
  </w:num>
  <w:num w:numId="26">
    <w:abstractNumId w:val="26"/>
  </w:num>
  <w:num w:numId="27">
    <w:abstractNumId w:val="30"/>
  </w:num>
  <w:num w:numId="28">
    <w:abstractNumId w:val="21"/>
  </w:num>
  <w:num w:numId="29">
    <w:abstractNumId w:val="26"/>
  </w:num>
  <w:num w:numId="30">
    <w:abstractNumId w:val="26"/>
  </w:num>
  <w:num w:numId="31">
    <w:abstractNumId w:val="17"/>
  </w:num>
  <w:num w:numId="32">
    <w:abstractNumId w:val="19"/>
  </w:num>
  <w:num w:numId="33">
    <w:abstractNumId w:val="1"/>
  </w:num>
  <w:num w:numId="34">
    <w:abstractNumId w:val="20"/>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569DF"/>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5D8"/>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36F59"/>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3287"/>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28D6"/>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4DD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2193"/>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0F19"/>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4E5C"/>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1705BC-7609-468A-AF82-3B6F839D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D3DE2-32F2-4156-81E4-59B3087C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2017-04-05T08:08:00Z</cp:lastPrinted>
  <dcterms:created xsi:type="dcterms:W3CDTF">2019-04-22T11:04:00Z</dcterms:created>
  <dcterms:modified xsi:type="dcterms:W3CDTF">2019-04-22T11:08:00Z</dcterms:modified>
</cp:coreProperties>
</file>