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1260"/>
        <w:gridCol w:w="1463"/>
        <w:gridCol w:w="943"/>
        <w:gridCol w:w="1134"/>
        <w:gridCol w:w="1134"/>
      </w:tblGrid>
      <w:tr w:rsidR="00591FBB" w:rsidRPr="004525E6" w:rsidTr="00827D56">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63"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27D5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4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827D56">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25658B" w:rsidP="0019128E">
            <w:pPr>
              <w:spacing w:line="240" w:lineRule="exact"/>
              <w:rPr>
                <w:rFonts w:ascii="Times New Roman" w:hAnsi="Times New Roman"/>
                <w:b/>
                <w:i/>
                <w:sz w:val="24"/>
                <w:szCs w:val="24"/>
              </w:rPr>
            </w:pPr>
            <w:r w:rsidRPr="0025658B">
              <w:rPr>
                <w:rFonts w:ascii="Times New Roman" w:eastAsia="Times New Roman" w:hAnsi="Times New Roman"/>
                <w:b/>
                <w:sz w:val="24"/>
                <w:szCs w:val="24"/>
                <w:lang w:val="ro-RO"/>
              </w:rPr>
              <w:t>Servicii de servire mas</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 -Coffee break pentru 20 persoane/zi  în perioada 27-30 iunie 2018 și branch pentru 20 persoane în data de 30 iunie 2018, în cadrul desf</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șur</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rii activit</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ților </w:t>
            </w:r>
            <w:r w:rsidRPr="0025658B">
              <w:rPr>
                <w:rFonts w:ascii="Times New Roman" w:eastAsia="Times New Roman" w:hAnsi="Times New Roman" w:hint="cs"/>
                <w:b/>
                <w:sz w:val="24"/>
                <w:szCs w:val="24"/>
                <w:lang w:val="ro-RO"/>
              </w:rPr>
              <w:t>Ş</w:t>
            </w:r>
            <w:r w:rsidRPr="0025658B">
              <w:rPr>
                <w:rFonts w:ascii="Times New Roman" w:eastAsia="Times New Roman" w:hAnsi="Times New Roman"/>
                <w:b/>
                <w:sz w:val="24"/>
                <w:szCs w:val="24"/>
                <w:lang w:val="ro-RO"/>
              </w:rPr>
              <w:t>colii interna</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ionale de var</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 privind protec</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 xml:space="preserve">ia </w:t>
            </w:r>
            <w:r w:rsidRPr="0025658B">
              <w:rPr>
                <w:rFonts w:ascii="Times New Roman" w:eastAsia="Times New Roman" w:hAnsi="Times New Roman" w:hint="cs"/>
                <w:b/>
                <w:sz w:val="24"/>
                <w:szCs w:val="24"/>
                <w:lang w:val="ro-RO"/>
              </w:rPr>
              <w:t>ş</w:t>
            </w:r>
            <w:r w:rsidRPr="0025658B">
              <w:rPr>
                <w:rFonts w:ascii="Times New Roman" w:eastAsia="Times New Roman" w:hAnsi="Times New Roman"/>
                <w:b/>
                <w:sz w:val="24"/>
                <w:szCs w:val="24"/>
                <w:lang w:val="ro-RO"/>
              </w:rPr>
              <w:t>i drepturile refugia</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ilor</w:t>
            </w:r>
          </w:p>
        </w:tc>
        <w:tc>
          <w:tcPr>
            <w:tcW w:w="1260" w:type="dxa"/>
            <w:vAlign w:val="center"/>
          </w:tcPr>
          <w:p w:rsidR="00860A67" w:rsidRPr="004525E6" w:rsidRDefault="005129E6" w:rsidP="005129E6">
            <w:pPr>
              <w:spacing w:line="240" w:lineRule="exact"/>
              <w:jc w:val="center"/>
              <w:rPr>
                <w:rFonts w:ascii="Times New Roman" w:hAnsi="Times New Roman"/>
                <w:b/>
                <w:sz w:val="22"/>
                <w:szCs w:val="22"/>
              </w:rPr>
            </w:pPr>
            <w:bookmarkStart w:id="0" w:name="_GoBack"/>
            <w:r>
              <w:rPr>
                <w:rFonts w:ascii="Times New Roman" w:hAnsi="Times New Roman"/>
                <w:b/>
                <w:sz w:val="22"/>
                <w:szCs w:val="22"/>
              </w:rPr>
              <w:t>2755</w:t>
            </w:r>
            <w:bookmarkEnd w:id="0"/>
          </w:p>
        </w:tc>
        <w:tc>
          <w:tcPr>
            <w:tcW w:w="1463" w:type="dxa"/>
            <w:vAlign w:val="center"/>
          </w:tcPr>
          <w:p w:rsidR="00860A67" w:rsidRPr="004525E6" w:rsidRDefault="005129E6" w:rsidP="008F0135">
            <w:pPr>
              <w:spacing w:line="240" w:lineRule="exact"/>
              <w:jc w:val="center"/>
              <w:rPr>
                <w:rFonts w:ascii="Times New Roman" w:hAnsi="Times New Roman"/>
                <w:b/>
                <w:sz w:val="22"/>
                <w:szCs w:val="22"/>
              </w:rPr>
            </w:pPr>
            <w:r>
              <w:rPr>
                <w:rFonts w:ascii="Times New Roman" w:hAnsi="Times New Roman"/>
                <w:b/>
                <w:sz w:val="22"/>
                <w:szCs w:val="22"/>
              </w:rPr>
              <w:t>462</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98" w:rsidRDefault="00067298">
      <w:r>
        <w:separator/>
      </w:r>
    </w:p>
  </w:endnote>
  <w:endnote w:type="continuationSeparator" w:id="0">
    <w:p w:rsidR="00067298" w:rsidRDefault="0006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98" w:rsidRDefault="00067298">
      <w:r>
        <w:separator/>
      </w:r>
    </w:p>
  </w:footnote>
  <w:footnote w:type="continuationSeparator" w:id="0">
    <w:p w:rsidR="00067298" w:rsidRDefault="0006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67298"/>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658B"/>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729C6"/>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29E6"/>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27D56"/>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5918"/>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EF9"/>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C80B0-C106-473F-A5BF-05CBA528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2018-05-10T05:46:00Z</cp:lastPrinted>
  <dcterms:created xsi:type="dcterms:W3CDTF">2018-04-20T08:43:00Z</dcterms:created>
  <dcterms:modified xsi:type="dcterms:W3CDTF">2018-09-20T06:27:00Z</dcterms:modified>
</cp:coreProperties>
</file>